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D" w:rsidRDefault="00EB605D">
      <w:pPr>
        <w:autoSpaceDE w:val="0"/>
        <w:autoSpaceDN w:val="0"/>
        <w:adjustRightInd w:val="0"/>
        <w:jc w:val="both"/>
      </w:pPr>
    </w:p>
    <w:p w:rsidR="00EB605D" w:rsidRDefault="00EB605D">
      <w:pPr>
        <w:pStyle w:val="ConsPlusTitle"/>
        <w:widowControl/>
        <w:jc w:val="center"/>
        <w:outlineLvl w:val="0"/>
      </w:pPr>
      <w:r>
        <w:t>РЕГИОНАЛЬНАЯ ЭНЕРГЕТИЧЕСКАЯ КОМИССИЯ КЕМЕРОВСКОЙ ОБЛАСТИ</w:t>
      </w:r>
    </w:p>
    <w:p w:rsidR="00EB605D" w:rsidRDefault="00EB605D">
      <w:pPr>
        <w:pStyle w:val="ConsPlusTitle"/>
        <w:widowControl/>
        <w:jc w:val="center"/>
      </w:pPr>
    </w:p>
    <w:p w:rsidR="00EB605D" w:rsidRDefault="00EB605D">
      <w:pPr>
        <w:pStyle w:val="ConsPlusTitle"/>
        <w:widowControl/>
        <w:jc w:val="center"/>
      </w:pPr>
      <w:r>
        <w:t>ПОСТАНОВЛЕНИЕ</w:t>
      </w:r>
    </w:p>
    <w:p w:rsidR="00EB605D" w:rsidRDefault="00EB605D">
      <w:pPr>
        <w:pStyle w:val="ConsPlusTitle"/>
        <w:widowControl/>
        <w:jc w:val="center"/>
      </w:pPr>
      <w:r>
        <w:t>от 26 декабря 2008 г. N 324</w:t>
      </w:r>
    </w:p>
    <w:p w:rsidR="00EB605D" w:rsidRDefault="00EB605D">
      <w:pPr>
        <w:pStyle w:val="ConsPlusTitle"/>
        <w:widowControl/>
        <w:jc w:val="center"/>
      </w:pPr>
    </w:p>
    <w:p w:rsidR="00EB605D" w:rsidRDefault="00EB605D">
      <w:pPr>
        <w:pStyle w:val="ConsPlusTitle"/>
        <w:widowControl/>
        <w:jc w:val="center"/>
      </w:pPr>
      <w:r>
        <w:t>О ВНЕСЕНИИ ИЗМЕНЕНИЙ В ПОСТАНОВЛЕНИЕ</w:t>
      </w:r>
    </w:p>
    <w:p w:rsidR="00EB605D" w:rsidRDefault="00EB605D">
      <w:pPr>
        <w:pStyle w:val="ConsPlusTitle"/>
        <w:widowControl/>
        <w:jc w:val="center"/>
      </w:pPr>
      <w:r>
        <w:t>РЕГИОНАЛЬНОЙ ЭНЕРГЕТИЧЕСКОЙ КОМИССИИ КЕМЕРОВСКОЙ ОБЛАСТИ</w:t>
      </w:r>
    </w:p>
    <w:p w:rsidR="00EB605D" w:rsidRDefault="00EB605D">
      <w:pPr>
        <w:pStyle w:val="ConsPlusTitle"/>
        <w:widowControl/>
        <w:jc w:val="center"/>
      </w:pPr>
      <w:r>
        <w:t>ОТ 30.11.2008 N 245 "ОБ УТВЕРЖДЕНИИ ТАРИФОВ</w:t>
      </w:r>
    </w:p>
    <w:p w:rsidR="00EB605D" w:rsidRDefault="00EB605D">
      <w:pPr>
        <w:pStyle w:val="ConsPlusTitle"/>
        <w:widowControl/>
        <w:jc w:val="center"/>
      </w:pPr>
      <w:r>
        <w:t>НА ЭЛЕКТРИЧЕСКУЮ ЭНЕРГИЮ, ПОСТАВЛЯЕМУЮ</w:t>
      </w:r>
    </w:p>
    <w:p w:rsidR="00EB605D" w:rsidRDefault="00EB605D">
      <w:pPr>
        <w:pStyle w:val="ConsPlusTitle"/>
        <w:widowControl/>
        <w:jc w:val="center"/>
      </w:pPr>
      <w:proofErr w:type="spellStart"/>
      <w:r>
        <w:t>ОАО</w:t>
      </w:r>
      <w:proofErr w:type="spellEnd"/>
      <w:r>
        <w:t xml:space="preserve"> "</w:t>
      </w:r>
      <w:proofErr w:type="spellStart"/>
      <w:r>
        <w:t>КУЗБАССЭНЕРГОСБЫТ</w:t>
      </w:r>
      <w:proofErr w:type="spellEnd"/>
      <w:r>
        <w:t>" НА ПОТРЕБИТЕЛЬСКИЙ РЫНОК</w:t>
      </w:r>
    </w:p>
    <w:p w:rsidR="00EB605D" w:rsidRDefault="00EB605D">
      <w:pPr>
        <w:pStyle w:val="ConsPlusTitle"/>
        <w:widowControl/>
        <w:jc w:val="center"/>
      </w:pPr>
      <w:r>
        <w:t>НА 2009 ГОД"</w:t>
      </w:r>
    </w:p>
    <w:p w:rsidR="00EB605D" w:rsidRDefault="00EB605D">
      <w:pPr>
        <w:autoSpaceDE w:val="0"/>
        <w:autoSpaceDN w:val="0"/>
        <w:adjustRightInd w:val="0"/>
        <w:ind w:firstLine="540"/>
        <w:jc w:val="both"/>
      </w:pPr>
    </w:p>
    <w:p w:rsidR="00EB605D" w:rsidRDefault="00EB605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Руководствуясь Федеральным законом от 14.04.95 N 41-ФЗ "О государственном регулировании тарифов на электрическую и тепловую энергию в Российской Федерации", в целях приведения в соответствие с приказом </w:t>
      </w:r>
      <w:proofErr w:type="spellStart"/>
      <w:r>
        <w:t>ФСТ</w:t>
      </w:r>
      <w:proofErr w:type="spellEnd"/>
      <w:r>
        <w:t xml:space="preserve"> России от 02.12.2008 N 311-э/3 "Об утверждении индикативных цен и тарифов на электрическую энергию и мощность для покупателей - субъектов оптового рынка электрической энергии (мощности)" и от 17.12.2008 N 376-э/9 "Об утверждении</w:t>
      </w:r>
      <w:proofErr w:type="gramEnd"/>
      <w:r>
        <w:t xml:space="preserve"> предельных максимальных уровней тарифов на услуги по передаче электрической энергии по субъектам Российской Федерации", Региональная энергетическая комиссия Кемеровской области постановляет:</w:t>
      </w:r>
    </w:p>
    <w:p w:rsidR="00EB605D" w:rsidRDefault="00EB605D">
      <w:pPr>
        <w:autoSpaceDE w:val="0"/>
        <w:autoSpaceDN w:val="0"/>
        <w:adjustRightInd w:val="0"/>
        <w:ind w:firstLine="540"/>
        <w:jc w:val="both"/>
      </w:pPr>
    </w:p>
    <w:p w:rsidR="00EB605D" w:rsidRDefault="00EB605D">
      <w:pPr>
        <w:autoSpaceDE w:val="0"/>
        <w:autoSpaceDN w:val="0"/>
        <w:adjustRightInd w:val="0"/>
        <w:ind w:firstLine="540"/>
        <w:jc w:val="both"/>
      </w:pPr>
      <w:r>
        <w:t xml:space="preserve">1. Приложение N 1 к постановлению Региональной энергетической комиссии Кемеровской области от 30.11.2008 N 245 "Об утверждении тарифов на электрическую энергию, поставляемую </w:t>
      </w:r>
      <w:proofErr w:type="spellStart"/>
      <w:r>
        <w:t>ОАО</w:t>
      </w:r>
      <w:proofErr w:type="spellEnd"/>
      <w:r>
        <w:t xml:space="preserve"> "</w:t>
      </w:r>
      <w:proofErr w:type="spellStart"/>
      <w:r>
        <w:t>Кузбассэнергосбыт</w:t>
      </w:r>
      <w:proofErr w:type="spellEnd"/>
      <w:r>
        <w:t>" на потребительский рынок на 2009 год" изложить в редакции согласно приложению N 1 к настоящему постановлению.</w:t>
      </w:r>
    </w:p>
    <w:p w:rsidR="00EB605D" w:rsidRDefault="00EB605D">
      <w:pPr>
        <w:autoSpaceDE w:val="0"/>
        <w:autoSpaceDN w:val="0"/>
        <w:adjustRightInd w:val="0"/>
        <w:ind w:firstLine="540"/>
        <w:jc w:val="both"/>
      </w:pPr>
      <w:r>
        <w:t xml:space="preserve">1. Приложение N 2 к постановлению Региональной энергетической комиссии Кемеровской области от 30.11.2008 N 245 "Об утверждении тарифов на электрическую энергию, поставляемую </w:t>
      </w:r>
      <w:proofErr w:type="spellStart"/>
      <w:r>
        <w:t>ОАО</w:t>
      </w:r>
      <w:proofErr w:type="spellEnd"/>
      <w:r>
        <w:t xml:space="preserve"> "</w:t>
      </w:r>
      <w:proofErr w:type="spellStart"/>
      <w:r>
        <w:t>Кузбассэнергосбыт</w:t>
      </w:r>
      <w:proofErr w:type="spellEnd"/>
      <w:r>
        <w:t>" на потребительский рынок на 2009 год" изложить в редакции согласно приложению N 2 к настоящему постановлению.</w:t>
      </w:r>
    </w:p>
    <w:p w:rsidR="00EB605D" w:rsidRDefault="00EB605D">
      <w:pPr>
        <w:autoSpaceDE w:val="0"/>
        <w:autoSpaceDN w:val="0"/>
        <w:adjustRightInd w:val="0"/>
        <w:ind w:firstLine="540"/>
        <w:jc w:val="both"/>
      </w:pPr>
      <w:r>
        <w:t>3. Настоящее постановление вступает в силу со дня подписания.</w:t>
      </w:r>
    </w:p>
    <w:p w:rsidR="00EB605D" w:rsidRDefault="00EB605D">
      <w:pPr>
        <w:autoSpaceDE w:val="0"/>
        <w:autoSpaceDN w:val="0"/>
        <w:adjustRightInd w:val="0"/>
        <w:ind w:firstLine="540"/>
        <w:jc w:val="both"/>
      </w:pPr>
    </w:p>
    <w:p w:rsidR="00EB605D" w:rsidRDefault="00EB605D">
      <w:pPr>
        <w:autoSpaceDE w:val="0"/>
        <w:autoSpaceDN w:val="0"/>
        <w:adjustRightInd w:val="0"/>
        <w:jc w:val="right"/>
      </w:pPr>
      <w:r>
        <w:t xml:space="preserve">Председатель </w:t>
      </w:r>
      <w:proofErr w:type="gramStart"/>
      <w:r>
        <w:t>Региональной</w:t>
      </w:r>
      <w:proofErr w:type="gramEnd"/>
    </w:p>
    <w:p w:rsidR="00EB605D" w:rsidRDefault="00EB605D">
      <w:pPr>
        <w:autoSpaceDE w:val="0"/>
        <w:autoSpaceDN w:val="0"/>
        <w:adjustRightInd w:val="0"/>
        <w:jc w:val="right"/>
      </w:pPr>
      <w:r>
        <w:t>энергетической комиссии</w:t>
      </w:r>
    </w:p>
    <w:p w:rsidR="00EB605D" w:rsidRDefault="00EB605D">
      <w:pPr>
        <w:autoSpaceDE w:val="0"/>
        <w:autoSpaceDN w:val="0"/>
        <w:adjustRightInd w:val="0"/>
        <w:jc w:val="right"/>
      </w:pPr>
      <w:r>
        <w:t>Кемеровской области</w:t>
      </w:r>
    </w:p>
    <w:p w:rsidR="00EB605D" w:rsidRDefault="00EB605D">
      <w:pPr>
        <w:autoSpaceDE w:val="0"/>
        <w:autoSpaceDN w:val="0"/>
        <w:adjustRightInd w:val="0"/>
        <w:jc w:val="right"/>
      </w:pPr>
      <w:proofErr w:type="spellStart"/>
      <w:r>
        <w:t>В.Г.СМОЛЕГО</w:t>
      </w:r>
      <w:proofErr w:type="spellEnd"/>
    </w:p>
    <w:p w:rsidR="00EB605D" w:rsidRDefault="00EB605D">
      <w:pPr>
        <w:autoSpaceDE w:val="0"/>
        <w:autoSpaceDN w:val="0"/>
        <w:adjustRightInd w:val="0"/>
        <w:ind w:firstLine="540"/>
        <w:jc w:val="both"/>
      </w:pPr>
    </w:p>
    <w:p w:rsidR="00EB605D" w:rsidRDefault="00EB605D">
      <w:pPr>
        <w:autoSpaceDE w:val="0"/>
        <w:autoSpaceDN w:val="0"/>
        <w:adjustRightInd w:val="0"/>
        <w:ind w:firstLine="540"/>
        <w:jc w:val="both"/>
      </w:pPr>
    </w:p>
    <w:p w:rsidR="00EB605D" w:rsidRDefault="00EB605D">
      <w:pPr>
        <w:autoSpaceDE w:val="0"/>
        <w:autoSpaceDN w:val="0"/>
        <w:adjustRightInd w:val="0"/>
        <w:ind w:firstLine="540"/>
        <w:jc w:val="both"/>
      </w:pPr>
    </w:p>
    <w:p w:rsidR="00EB605D" w:rsidRDefault="00EB605D">
      <w:pPr>
        <w:autoSpaceDE w:val="0"/>
        <w:autoSpaceDN w:val="0"/>
        <w:adjustRightInd w:val="0"/>
        <w:ind w:firstLine="540"/>
        <w:jc w:val="both"/>
      </w:pPr>
    </w:p>
    <w:p w:rsidR="00EB605D" w:rsidRDefault="00EB605D">
      <w:pPr>
        <w:autoSpaceDE w:val="0"/>
        <w:autoSpaceDN w:val="0"/>
        <w:adjustRightInd w:val="0"/>
        <w:ind w:firstLine="540"/>
        <w:jc w:val="both"/>
      </w:pPr>
    </w:p>
    <w:p w:rsidR="00EB605D" w:rsidRDefault="00EB605D">
      <w:pPr>
        <w:autoSpaceDE w:val="0"/>
        <w:autoSpaceDN w:val="0"/>
        <w:adjustRightInd w:val="0"/>
        <w:jc w:val="right"/>
        <w:outlineLvl w:val="0"/>
      </w:pPr>
      <w:r>
        <w:t>Приложение N 1</w:t>
      </w:r>
    </w:p>
    <w:p w:rsidR="00EB605D" w:rsidRDefault="00EB605D">
      <w:pPr>
        <w:autoSpaceDE w:val="0"/>
        <w:autoSpaceDN w:val="0"/>
        <w:adjustRightInd w:val="0"/>
        <w:jc w:val="right"/>
      </w:pPr>
      <w:r>
        <w:t xml:space="preserve">к постановлению </w:t>
      </w:r>
      <w:proofErr w:type="spellStart"/>
      <w:r>
        <w:t>РЭК</w:t>
      </w:r>
      <w:proofErr w:type="spellEnd"/>
    </w:p>
    <w:p w:rsidR="00EB605D" w:rsidRDefault="00EB605D">
      <w:pPr>
        <w:autoSpaceDE w:val="0"/>
        <w:autoSpaceDN w:val="0"/>
        <w:adjustRightInd w:val="0"/>
        <w:jc w:val="right"/>
      </w:pPr>
      <w:r>
        <w:t>Кемеровской области</w:t>
      </w:r>
    </w:p>
    <w:p w:rsidR="00EB605D" w:rsidRDefault="00EB605D">
      <w:pPr>
        <w:autoSpaceDE w:val="0"/>
        <w:autoSpaceDN w:val="0"/>
        <w:adjustRightInd w:val="0"/>
        <w:jc w:val="right"/>
      </w:pPr>
      <w:r>
        <w:t>от 26 декабря 2008 г. N 324</w:t>
      </w:r>
    </w:p>
    <w:p w:rsidR="00EB605D" w:rsidRDefault="00EB605D">
      <w:pPr>
        <w:autoSpaceDE w:val="0"/>
        <w:autoSpaceDN w:val="0"/>
        <w:adjustRightInd w:val="0"/>
        <w:ind w:firstLine="540"/>
        <w:jc w:val="both"/>
      </w:pPr>
    </w:p>
    <w:p w:rsidR="00EB605D" w:rsidRDefault="00EB605D">
      <w:pPr>
        <w:autoSpaceDE w:val="0"/>
        <w:autoSpaceDN w:val="0"/>
        <w:adjustRightInd w:val="0"/>
        <w:jc w:val="right"/>
      </w:pPr>
      <w:r>
        <w:t>"Приложение N 1</w:t>
      </w:r>
    </w:p>
    <w:p w:rsidR="00EB605D" w:rsidRDefault="00EB605D">
      <w:pPr>
        <w:autoSpaceDE w:val="0"/>
        <w:autoSpaceDN w:val="0"/>
        <w:adjustRightInd w:val="0"/>
        <w:jc w:val="right"/>
      </w:pPr>
      <w:r>
        <w:t xml:space="preserve">к постановлению </w:t>
      </w:r>
      <w:proofErr w:type="spellStart"/>
      <w:r>
        <w:t>РЭК</w:t>
      </w:r>
      <w:proofErr w:type="spellEnd"/>
    </w:p>
    <w:p w:rsidR="00EB605D" w:rsidRDefault="00EB605D">
      <w:pPr>
        <w:autoSpaceDE w:val="0"/>
        <w:autoSpaceDN w:val="0"/>
        <w:adjustRightInd w:val="0"/>
        <w:jc w:val="right"/>
      </w:pPr>
      <w:r>
        <w:t>Кемеровской области</w:t>
      </w:r>
    </w:p>
    <w:p w:rsidR="00EB605D" w:rsidRDefault="00EB605D">
      <w:pPr>
        <w:autoSpaceDE w:val="0"/>
        <w:autoSpaceDN w:val="0"/>
        <w:adjustRightInd w:val="0"/>
        <w:jc w:val="right"/>
      </w:pPr>
      <w:r>
        <w:t>от 30 ноября 2008 г. N 245</w:t>
      </w:r>
    </w:p>
    <w:p w:rsidR="00EB605D" w:rsidRDefault="00EB605D">
      <w:pPr>
        <w:autoSpaceDE w:val="0"/>
        <w:autoSpaceDN w:val="0"/>
        <w:adjustRightInd w:val="0"/>
        <w:ind w:firstLine="540"/>
        <w:jc w:val="both"/>
      </w:pPr>
    </w:p>
    <w:p w:rsidR="00EB605D" w:rsidRDefault="00EB605D">
      <w:pPr>
        <w:autoSpaceDE w:val="0"/>
        <w:autoSpaceDN w:val="0"/>
        <w:adjustRightInd w:val="0"/>
        <w:ind w:firstLine="540"/>
        <w:jc w:val="both"/>
      </w:pPr>
    </w:p>
    <w:p w:rsidR="00EB605D" w:rsidRDefault="00EB605D">
      <w:pPr>
        <w:pStyle w:val="ConsPlusTitle"/>
        <w:widowControl/>
        <w:jc w:val="center"/>
      </w:pPr>
      <w:r>
        <w:lastRenderedPageBreak/>
        <w:t>ТАРИФНОЕ МЕНЮ</w:t>
      </w:r>
    </w:p>
    <w:p w:rsidR="00EB605D" w:rsidRDefault="00EB605D">
      <w:pPr>
        <w:pStyle w:val="ConsPlusTitle"/>
        <w:widowControl/>
        <w:jc w:val="center"/>
      </w:pPr>
      <w:r>
        <w:t>ПО ЭЛЕКТРИЧЕСКОЙ ЭНЕРГИИ, ОТПУСКАЕМОЙ</w:t>
      </w:r>
    </w:p>
    <w:p w:rsidR="00EB605D" w:rsidRDefault="00EB605D">
      <w:pPr>
        <w:pStyle w:val="ConsPlusTitle"/>
        <w:widowControl/>
        <w:jc w:val="center"/>
      </w:pPr>
      <w:proofErr w:type="spellStart"/>
      <w:r>
        <w:t>ОАО</w:t>
      </w:r>
      <w:proofErr w:type="spellEnd"/>
      <w:r>
        <w:t xml:space="preserve"> "</w:t>
      </w:r>
      <w:proofErr w:type="spellStart"/>
      <w:r>
        <w:t>КУЗБАССЭНЕРГОСБЫТ</w:t>
      </w:r>
      <w:proofErr w:type="spellEnd"/>
      <w:r>
        <w:t>" ПОТРЕБИТЕЛЯМ НА РОЗНИЧНОМ РЫНКЕ</w:t>
      </w:r>
    </w:p>
    <w:p w:rsidR="00EB605D" w:rsidRDefault="00EB605D">
      <w:pPr>
        <w:pStyle w:val="ConsPlusTitle"/>
        <w:widowControl/>
        <w:jc w:val="center"/>
      </w:pPr>
      <w:r>
        <w:t>С 01.01.2009</w:t>
      </w:r>
    </w:p>
    <w:p w:rsidR="00EB605D" w:rsidRDefault="00EB605D">
      <w:pPr>
        <w:autoSpaceDE w:val="0"/>
        <w:autoSpaceDN w:val="0"/>
        <w:adjustRightInd w:val="0"/>
        <w:ind w:firstLine="540"/>
        <w:jc w:val="both"/>
      </w:pPr>
    </w:p>
    <w:p w:rsidR="00EB605D" w:rsidRDefault="00EB605D">
      <w:pPr>
        <w:autoSpaceDE w:val="0"/>
        <w:autoSpaceDN w:val="0"/>
        <w:adjustRightInd w:val="0"/>
        <w:jc w:val="right"/>
      </w:pPr>
      <w:r>
        <w:t>без НДС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2565"/>
        <w:gridCol w:w="1890"/>
        <w:gridCol w:w="1080"/>
        <w:gridCol w:w="1215"/>
        <w:gridCol w:w="1215"/>
        <w:gridCol w:w="1080"/>
      </w:tblGrid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п.п.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Диапазоны напряжения     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(с НДС)                       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Втч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132,00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Тариф,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дифференцированный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зонам суток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Ночная зона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23-00 до 7-00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часов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Втч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118,80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Дневная зона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7-00 до 23-00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часов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Втч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146,70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Потребители, приравненные к населению &lt;*&gt;          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1118,64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Тариф,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дифференцированный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зонам суток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Ночная зона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23-00 до 7-00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часов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1006,80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Дневная зона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7-00 до 23-00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часов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1242,90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потребители                       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7001 часов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выше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1620,58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1662,63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1664,32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1700,17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6001 до 7000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часов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1672,58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1714,63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1716,32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1752,17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5001 до 6000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часов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1743,58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1785,63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1787,32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1823,17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5000 часов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1846,08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1888,13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1889,82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1925,67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электрическую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энергию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524,74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558,00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584,39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756,16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мощность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руб./МВт мес.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514409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590143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598978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668020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Тариф,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дифференцированный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зонам суток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ночная зона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1548,68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1590,73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1592,42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1628,27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полупиковая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(дневная зона)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1625,18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1667,23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1668,92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1704,77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пиковая зона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1710,18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1752,23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1753,92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1789,77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Присоединенные через энергетические установки производителей э/энергии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7001 часов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выше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1579,70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1588,49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1563,79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1427,87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6001 до 7000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часов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1631,70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1640,49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1615,79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1479,87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5001 до 6000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часов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1711,49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1686,79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1550,87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5000 часов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1805,20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1813,99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1789,29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1653,37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электрическую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энергию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483,86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483,86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483,86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483,86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мощность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руб./МВт мес.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514409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590143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598978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668020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Тариф,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дифференцированный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зонам суток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ночная зона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1516,59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1491,89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1355,97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полупиковая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(дневная зона)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1584,30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1593,09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1568,39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1432,47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пиковая зона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1669,30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1678,09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1653,39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1517,47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потребители                         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7001 часов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выше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1620,58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1662,63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1664,32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1700,17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6001 до 7000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часов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1672,58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1714,63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1716,32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1752,17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5001 до 6000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часов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1743,58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1785,63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1787,32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1823,17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5000 часов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1846,08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1888,13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1889,32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1925,67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электрическую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энергию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524,74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558,00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584,39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756,16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мощность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руб./МВт мес.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514409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590143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598978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668020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Тариф,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дифференцированный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зонам суток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ночная зона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1548,68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1590,73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1592,42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1628,27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полупиковая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1625,18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1667,23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1668,92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1704,77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пиковая зона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1710,18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1752,23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1753,92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1789,77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Присоединенные через энергетические установки производителей э/энергии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7001 часов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выше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1579,70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1588,49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1563,79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1427,87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6001 до 7000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часов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1631,70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1640,49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1615,79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1479,87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5001 до 6000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часов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1711,49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1686,79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1550,87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5000 часов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1805,20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1813,99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1789,29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1653,37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электрическую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энергию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483,86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483,86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483,86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483,86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мощность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руб./МВт мес.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514409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590143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598978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668020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Тариф,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дифференцированный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зонам суток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ночная зона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1516,59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1491,89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1355,97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полупиковая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(дневная зона)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1584,30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1593,09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1598,39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1432,47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пиковая зона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1669,30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1678,09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1653,39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1517,47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оказывающие услуги о передаче электрической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приобретающие ее в целях компенсации потерь в сетях, принадлежащих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данным организациям на праве собственности или ином законном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основании                             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826,76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05D" w:rsidRDefault="00EB605D">
      <w:pPr>
        <w:autoSpaceDE w:val="0"/>
        <w:autoSpaceDN w:val="0"/>
        <w:adjustRightInd w:val="0"/>
        <w:ind w:firstLine="540"/>
        <w:jc w:val="both"/>
      </w:pPr>
    </w:p>
    <w:p w:rsidR="00EB605D" w:rsidRDefault="00EB605D">
      <w:pPr>
        <w:pStyle w:val="ConsPlusNonformat"/>
        <w:widowControl/>
        <w:ind w:firstLine="540"/>
        <w:jc w:val="both"/>
      </w:pPr>
      <w:r>
        <w:t>--------------------------------</w:t>
      </w:r>
    </w:p>
    <w:p w:rsidR="00EB605D" w:rsidRDefault="00EB605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&lt;*&gt; 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- либо управляющие организации), </w:t>
      </w:r>
      <w:proofErr w:type="spellStart"/>
      <w:r>
        <w:t>наймодатели</w:t>
      </w:r>
      <w:proofErr w:type="spellEnd"/>
      <w:r>
        <w:t xml:space="preserve"> (или уполномоченные ими лица), предоставляющие гражданам жилые помещения специализированного жилищного фонда: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жилые помещения</w:t>
      </w:r>
      <w:proofErr w:type="gramEnd"/>
      <w:r>
        <w:t xml:space="preserve"> для социальной защиты отдельных категорий граждан, приобретающих электроэнергию для коммунально-бытового потребления граждан в объемах фактического потребления потребителей-граждан и объемах электроэнергии, израсходованной на места общего пользования;</w:t>
      </w:r>
    </w:p>
    <w:p w:rsidR="00EB605D" w:rsidRDefault="00EB605D">
      <w:pPr>
        <w:autoSpaceDE w:val="0"/>
        <w:autoSpaceDN w:val="0"/>
        <w:adjustRightInd w:val="0"/>
        <w:ind w:firstLine="540"/>
        <w:jc w:val="both"/>
      </w:pPr>
      <w:r>
        <w:t xml:space="preserve">- гарантирующие поставщики (далее также - </w:t>
      </w:r>
      <w:proofErr w:type="spellStart"/>
      <w:r>
        <w:t>ГП</w:t>
      </w:r>
      <w:proofErr w:type="spellEnd"/>
      <w:r>
        <w:t xml:space="preserve">), </w:t>
      </w:r>
      <w:proofErr w:type="spellStart"/>
      <w:r>
        <w:t>энергосбытовые</w:t>
      </w:r>
      <w:proofErr w:type="spellEnd"/>
      <w:r>
        <w:t xml:space="preserve"> (далее - также </w:t>
      </w:r>
      <w:proofErr w:type="spellStart"/>
      <w:r>
        <w:t>ЭСК</w:t>
      </w:r>
      <w:proofErr w:type="spellEnd"/>
      <w:r>
        <w:t xml:space="preserve">), </w:t>
      </w:r>
      <w:proofErr w:type="spellStart"/>
      <w:r>
        <w:t>энергоснабжающие</w:t>
      </w:r>
      <w:proofErr w:type="spellEnd"/>
      <w:r>
        <w:t xml:space="preserve"> организации, приобретающие электроэнергию в целях дальнейшей продажи потребителям - гражданам и (или) исполнителям коммунальной услуги электроснабжения, </w:t>
      </w:r>
      <w:proofErr w:type="spellStart"/>
      <w:r>
        <w:t>наймодателям</w:t>
      </w:r>
      <w:proofErr w:type="spellEnd"/>
      <w:r>
        <w:t xml:space="preserve"> (или уполномоченным ими лицам), в объемах фактического потребления потребителей-граждан и объемах электроэнергии, израсходованной на места общего пользования;</w:t>
      </w:r>
    </w:p>
    <w:p w:rsidR="00EB605D" w:rsidRDefault="00EB605D">
      <w:pPr>
        <w:autoSpaceDE w:val="0"/>
        <w:autoSpaceDN w:val="0"/>
        <w:adjustRightInd w:val="0"/>
        <w:ind w:firstLine="540"/>
        <w:jc w:val="both"/>
      </w:pPr>
      <w:r>
        <w:t xml:space="preserve">- 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</w:t>
      </w:r>
      <w:r>
        <w:lastRenderedPageBreak/>
        <w:t>содействия ее членам в решении общих социально-хозяйственных задач ведения садоводства, огородничества и дачного хозяйства;</w:t>
      </w:r>
    </w:p>
    <w:p w:rsidR="00EB605D" w:rsidRDefault="00EB605D">
      <w:pPr>
        <w:autoSpaceDE w:val="0"/>
        <w:autoSpaceDN w:val="0"/>
        <w:adjustRightInd w:val="0"/>
        <w:ind w:firstLine="540"/>
        <w:jc w:val="both"/>
      </w:pPr>
      <w:r>
        <w:t>- некоммерческие объединения граждан (гаражно-строительные, гаражные кооперативы) согласно постановлению Региональной энергетической комиссии Кемеровской области от 14.11.2008 N 136;</w:t>
      </w:r>
    </w:p>
    <w:p w:rsidR="00EB605D" w:rsidRDefault="00EB605D">
      <w:pPr>
        <w:autoSpaceDE w:val="0"/>
        <w:autoSpaceDN w:val="0"/>
        <w:adjustRightInd w:val="0"/>
        <w:ind w:firstLine="540"/>
        <w:jc w:val="both"/>
      </w:pPr>
      <w:r>
        <w:t>- населенные пункты, объединенные хозяйственные постройки граждан (погреба, сараи и иные сооружения), жилые зоны при воинских частях и исправительно-трудовых учреждениях, рассчитывающиеся по общему счетчику на вводе (жилые дома, общежития, в которых проживают обслуживающий персонал, работники исправительно-трудовых учреждений, их семьи);</w:t>
      </w:r>
    </w:p>
    <w:p w:rsidR="00EB605D" w:rsidRDefault="00EB605D">
      <w:pPr>
        <w:autoSpaceDE w:val="0"/>
        <w:autoSpaceDN w:val="0"/>
        <w:adjustRightInd w:val="0"/>
        <w:ind w:firstLine="540"/>
        <w:jc w:val="both"/>
      </w:pPr>
      <w:r>
        <w:t>- содержащиеся за счет прихожан религиозные организации.</w:t>
      </w:r>
    </w:p>
    <w:p w:rsidR="00EB605D" w:rsidRDefault="00EB605D">
      <w:pPr>
        <w:autoSpaceDE w:val="0"/>
        <w:autoSpaceDN w:val="0"/>
        <w:adjustRightInd w:val="0"/>
        <w:ind w:firstLine="540"/>
        <w:jc w:val="both"/>
      </w:pPr>
      <w:r>
        <w:t xml:space="preserve">Примечание. Потребители, заключившие с гарантирующим поставщиком договор купли-продажи, </w:t>
      </w:r>
      <w:proofErr w:type="gramStart"/>
      <w:r>
        <w:t>оплачивают стоимость тепловой</w:t>
      </w:r>
      <w:proofErr w:type="gramEnd"/>
      <w:r>
        <w:t xml:space="preserve"> электрической энергии (мощности), стоимость услуг </w:t>
      </w:r>
      <w:proofErr w:type="spellStart"/>
      <w:r>
        <w:t>ОАО</w:t>
      </w:r>
      <w:proofErr w:type="spellEnd"/>
      <w:r>
        <w:t xml:space="preserve"> "АТС", ЗАО "</w:t>
      </w:r>
      <w:proofErr w:type="spellStart"/>
      <w:r>
        <w:t>ЦФР</w:t>
      </w:r>
      <w:proofErr w:type="spellEnd"/>
      <w:r>
        <w:t>" и стоимость сбытовых услуг".</w:t>
      </w:r>
    </w:p>
    <w:p w:rsidR="00EB605D" w:rsidRDefault="00EB605D">
      <w:pPr>
        <w:autoSpaceDE w:val="0"/>
        <w:autoSpaceDN w:val="0"/>
        <w:adjustRightInd w:val="0"/>
        <w:ind w:firstLine="540"/>
        <w:jc w:val="both"/>
        <w:sectPr w:rsidR="00EB605D" w:rsidSect="00D55A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605D" w:rsidRDefault="00EB605D">
      <w:pPr>
        <w:autoSpaceDE w:val="0"/>
        <w:autoSpaceDN w:val="0"/>
        <w:adjustRightInd w:val="0"/>
        <w:ind w:firstLine="540"/>
        <w:jc w:val="both"/>
      </w:pPr>
    </w:p>
    <w:p w:rsidR="00EB605D" w:rsidRDefault="00EB605D">
      <w:pPr>
        <w:autoSpaceDE w:val="0"/>
        <w:autoSpaceDN w:val="0"/>
        <w:adjustRightInd w:val="0"/>
        <w:jc w:val="right"/>
        <w:outlineLvl w:val="0"/>
      </w:pPr>
      <w:r>
        <w:t>Приложение N 2</w:t>
      </w:r>
    </w:p>
    <w:p w:rsidR="00EB605D" w:rsidRDefault="00EB605D">
      <w:pPr>
        <w:autoSpaceDE w:val="0"/>
        <w:autoSpaceDN w:val="0"/>
        <w:adjustRightInd w:val="0"/>
        <w:jc w:val="right"/>
      </w:pPr>
      <w:r>
        <w:t xml:space="preserve">к постановлению </w:t>
      </w:r>
      <w:proofErr w:type="spellStart"/>
      <w:r>
        <w:t>РЭК</w:t>
      </w:r>
      <w:proofErr w:type="spellEnd"/>
    </w:p>
    <w:p w:rsidR="00EB605D" w:rsidRDefault="00EB605D">
      <w:pPr>
        <w:autoSpaceDE w:val="0"/>
        <w:autoSpaceDN w:val="0"/>
        <w:adjustRightInd w:val="0"/>
        <w:jc w:val="right"/>
      </w:pPr>
      <w:r>
        <w:t>Кемеровской области</w:t>
      </w:r>
    </w:p>
    <w:p w:rsidR="00EB605D" w:rsidRDefault="00EB605D">
      <w:pPr>
        <w:autoSpaceDE w:val="0"/>
        <w:autoSpaceDN w:val="0"/>
        <w:adjustRightInd w:val="0"/>
        <w:jc w:val="right"/>
      </w:pPr>
      <w:r>
        <w:t>от 26 декабря 2008 г. N 324</w:t>
      </w:r>
    </w:p>
    <w:p w:rsidR="00EB605D" w:rsidRDefault="00EB605D">
      <w:pPr>
        <w:autoSpaceDE w:val="0"/>
        <w:autoSpaceDN w:val="0"/>
        <w:adjustRightInd w:val="0"/>
        <w:ind w:firstLine="540"/>
        <w:jc w:val="both"/>
      </w:pPr>
    </w:p>
    <w:p w:rsidR="00EB605D" w:rsidRDefault="00EB605D">
      <w:pPr>
        <w:autoSpaceDE w:val="0"/>
        <w:autoSpaceDN w:val="0"/>
        <w:adjustRightInd w:val="0"/>
        <w:jc w:val="right"/>
      </w:pPr>
      <w:r>
        <w:t>"Приложение N 2</w:t>
      </w:r>
    </w:p>
    <w:p w:rsidR="00EB605D" w:rsidRDefault="00EB605D">
      <w:pPr>
        <w:autoSpaceDE w:val="0"/>
        <w:autoSpaceDN w:val="0"/>
        <w:adjustRightInd w:val="0"/>
        <w:jc w:val="right"/>
      </w:pPr>
      <w:r>
        <w:t xml:space="preserve">к постановлению </w:t>
      </w:r>
      <w:proofErr w:type="spellStart"/>
      <w:r>
        <w:t>РЭК</w:t>
      </w:r>
      <w:proofErr w:type="spellEnd"/>
    </w:p>
    <w:p w:rsidR="00EB605D" w:rsidRDefault="00EB605D">
      <w:pPr>
        <w:autoSpaceDE w:val="0"/>
        <w:autoSpaceDN w:val="0"/>
        <w:adjustRightInd w:val="0"/>
        <w:jc w:val="right"/>
      </w:pPr>
      <w:r>
        <w:t>Кемеровской области</w:t>
      </w:r>
    </w:p>
    <w:p w:rsidR="00EB605D" w:rsidRDefault="00EB605D">
      <w:pPr>
        <w:autoSpaceDE w:val="0"/>
        <w:autoSpaceDN w:val="0"/>
        <w:adjustRightInd w:val="0"/>
        <w:jc w:val="right"/>
      </w:pPr>
      <w:r>
        <w:t>от 30 ноября 2008 г. N 245</w:t>
      </w:r>
    </w:p>
    <w:p w:rsidR="00EB605D" w:rsidRDefault="00EB605D">
      <w:pPr>
        <w:autoSpaceDE w:val="0"/>
        <w:autoSpaceDN w:val="0"/>
        <w:adjustRightInd w:val="0"/>
        <w:ind w:firstLine="540"/>
        <w:jc w:val="both"/>
      </w:pPr>
    </w:p>
    <w:p w:rsidR="00EB605D" w:rsidRDefault="00EB605D">
      <w:pPr>
        <w:pStyle w:val="ConsPlusTitle"/>
        <w:widowControl/>
        <w:jc w:val="center"/>
      </w:pPr>
      <w:r>
        <w:t>СРЕДНЕВЗВЕШЕННАЯ СТОИМОСТЬ</w:t>
      </w:r>
    </w:p>
    <w:p w:rsidR="00EB605D" w:rsidRDefault="00EB605D">
      <w:pPr>
        <w:pStyle w:val="ConsPlusTitle"/>
        <w:widowControl/>
        <w:jc w:val="center"/>
      </w:pPr>
      <w:r>
        <w:t xml:space="preserve">ЕДИНИЦЫ ЭЛЕКТРИЧЕСКОЙ ЭНЕРГИИ (МОЩНОСТИ) НА </w:t>
      </w:r>
      <w:proofErr w:type="gramStart"/>
      <w:r>
        <w:t>ОПТОВОМ</w:t>
      </w:r>
      <w:proofErr w:type="gramEnd"/>
    </w:p>
    <w:p w:rsidR="00EB605D" w:rsidRDefault="00EB605D">
      <w:pPr>
        <w:pStyle w:val="ConsPlusTitle"/>
        <w:widowControl/>
        <w:jc w:val="center"/>
      </w:pPr>
      <w:r>
        <w:t xml:space="preserve">И </w:t>
      </w:r>
      <w:proofErr w:type="gramStart"/>
      <w:r>
        <w:t>РОЗНИЧНОМ</w:t>
      </w:r>
      <w:proofErr w:type="gramEnd"/>
      <w:r>
        <w:t xml:space="preserve"> РЫНКАХ, СТОИМОСТЬ УСЛУГ ПО</w:t>
      </w:r>
    </w:p>
    <w:p w:rsidR="00EB605D" w:rsidRDefault="00EB605D">
      <w:pPr>
        <w:pStyle w:val="ConsPlusTitle"/>
        <w:widowControl/>
        <w:jc w:val="center"/>
      </w:pPr>
      <w:r>
        <w:t>ОПЕРАТИВНО-ДИСПЕТЧЕРСКОМУ УПРАВЛЕНИЮ В ЭЛЕКТРОЭНЕРГЕТИКЕ,</w:t>
      </w:r>
    </w:p>
    <w:p w:rsidR="00EB605D" w:rsidRDefault="00EB605D">
      <w:pPr>
        <w:pStyle w:val="ConsPlusTitle"/>
        <w:widowControl/>
        <w:jc w:val="center"/>
      </w:pPr>
      <w:r>
        <w:t>ОРГАНИЗАЦИИ ФУНКЦИОНИРОВАНИЯ ТОРГОВОЙ СИСТЕМЫ ОПТОВОГО</w:t>
      </w:r>
    </w:p>
    <w:p w:rsidR="00EB605D" w:rsidRDefault="00EB605D">
      <w:pPr>
        <w:pStyle w:val="ConsPlusTitle"/>
        <w:widowControl/>
        <w:jc w:val="center"/>
      </w:pPr>
      <w:r>
        <w:t>РЫНКА ЭЛЕКТРИЧЕСКОЙ ЭНЕРГИИ (МОЩНОСТИ), ПЕРЕДАЧИ</w:t>
      </w:r>
    </w:p>
    <w:p w:rsidR="00EB605D" w:rsidRDefault="00EB605D">
      <w:pPr>
        <w:pStyle w:val="ConsPlusTitle"/>
        <w:widowControl/>
        <w:jc w:val="center"/>
      </w:pPr>
      <w:r>
        <w:t xml:space="preserve">ЭЛЕКТРИЧЕСКОЙ ЭНЕРГИИ </w:t>
      </w:r>
      <w:proofErr w:type="gramStart"/>
      <w:r>
        <w:t>ПО</w:t>
      </w:r>
      <w:proofErr w:type="gramEnd"/>
      <w:r>
        <w:t xml:space="preserve"> ЕДИНОЙ НАЦИОНАЛЬНОЙ</w:t>
      </w:r>
    </w:p>
    <w:p w:rsidR="00EB605D" w:rsidRDefault="00EB605D">
      <w:pPr>
        <w:pStyle w:val="ConsPlusTitle"/>
        <w:widowControl/>
        <w:jc w:val="center"/>
      </w:pPr>
      <w:proofErr w:type="gramStart"/>
      <w:r>
        <w:t>(ОБЩЕРОССИЙСКОЙ) СЕТИ, УЧТЕННЫЕ ПРИ ФОРМИРОВАНИИ ТАРИФОВ</w:t>
      </w:r>
      <w:proofErr w:type="gramEnd"/>
    </w:p>
    <w:p w:rsidR="00EB605D" w:rsidRDefault="00EB605D">
      <w:pPr>
        <w:pStyle w:val="ConsPlusTitle"/>
        <w:widowControl/>
        <w:jc w:val="center"/>
      </w:pPr>
      <w:r>
        <w:t xml:space="preserve">ДЛЯ ПОТРЕБИТЕЛЕЙ </w:t>
      </w:r>
      <w:proofErr w:type="spellStart"/>
      <w:r>
        <w:t>ОАО</w:t>
      </w:r>
      <w:proofErr w:type="spellEnd"/>
      <w:r>
        <w:t xml:space="preserve"> "</w:t>
      </w:r>
      <w:proofErr w:type="spellStart"/>
      <w:r>
        <w:t>КУЗБАССЭНЕРГОСБЫТ</w:t>
      </w:r>
      <w:proofErr w:type="spellEnd"/>
      <w:r>
        <w:t>"</w:t>
      </w:r>
    </w:p>
    <w:p w:rsidR="00EB605D" w:rsidRDefault="00EB605D">
      <w:pPr>
        <w:pStyle w:val="ConsPlusTitle"/>
        <w:widowControl/>
        <w:jc w:val="center"/>
      </w:pPr>
      <w:r>
        <w:t>С 01 ЯНВАРЯ 2009 ГОДА</w:t>
      </w:r>
    </w:p>
    <w:p w:rsidR="00EB605D" w:rsidRDefault="00EB605D">
      <w:pPr>
        <w:autoSpaceDE w:val="0"/>
        <w:autoSpaceDN w:val="0"/>
        <w:adjustRightInd w:val="0"/>
        <w:ind w:firstLine="540"/>
        <w:jc w:val="both"/>
      </w:pPr>
    </w:p>
    <w:p w:rsidR="00EB605D" w:rsidRDefault="00EB605D">
      <w:pPr>
        <w:autoSpaceDE w:val="0"/>
        <w:autoSpaceDN w:val="0"/>
        <w:adjustRightInd w:val="0"/>
        <w:jc w:val="right"/>
      </w:pPr>
      <w:r>
        <w:t>без НДС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160"/>
        <w:gridCol w:w="2025"/>
        <w:gridCol w:w="2295"/>
        <w:gridCol w:w="2835"/>
        <w:gridCol w:w="135"/>
        <w:gridCol w:w="160"/>
      </w:tblGrid>
      <w:tr w:rsidR="00EB605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cantSplit/>
          <w:trHeight w:val="21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группы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потребителей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Средневзвешенная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единицы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(мощности)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оптовом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розничном рынках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диспетчерскому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управлению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электроэнергетике,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функционирования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системы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оптового рынка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(мощности),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передачи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по единой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национальной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(общероссийской)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сети       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                        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7001 часа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выше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руб./тыс. кВтч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760,50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0,78        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6001 до 7000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часов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руб./тыс. кВтч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812,50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0,78        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5001 до 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часов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руб./тыс. кВтч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883,50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0,78        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5000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часов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руб./тыс. кВтч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986,00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0,78        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                        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электрическую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энергию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руб./тыс. кВтч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422,20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0,78        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мощность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211428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Тариф, дифференцированный по зонам суток               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ночная зона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руб./тыс. кВтч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688,60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0,78        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полупиковая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зона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руб./тыс. кВтч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765,10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0,78        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пиковая зона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руб./тыс. кВтч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850,10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0,78         </w:t>
            </w:r>
          </w:p>
        </w:tc>
      </w:tr>
      <w:tr w:rsidR="00EB605D">
        <w:tblPrEx>
          <w:tblCellMar>
            <w:top w:w="0" w:type="dxa"/>
            <w:bottom w:w="0" w:type="dxa"/>
          </w:tblCellMar>
        </w:tblPrEx>
        <w:trPr>
          <w:gridBefore w:val="6"/>
          <w:wBefore w:w="10125" w:type="dxa"/>
          <w:cantSplit/>
          <w:trHeight w:val="12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EB605D" w:rsidRDefault="00EB60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EB605D" w:rsidRDefault="00EB605D">
      <w:pPr>
        <w:autoSpaceDE w:val="0"/>
        <w:autoSpaceDN w:val="0"/>
        <w:adjustRightInd w:val="0"/>
        <w:ind w:firstLine="540"/>
        <w:jc w:val="both"/>
      </w:pPr>
    </w:p>
    <w:p w:rsidR="00EB605D" w:rsidRDefault="00EB605D">
      <w:pPr>
        <w:autoSpaceDE w:val="0"/>
        <w:autoSpaceDN w:val="0"/>
        <w:adjustRightInd w:val="0"/>
        <w:ind w:firstLine="540"/>
        <w:jc w:val="both"/>
      </w:pPr>
    </w:p>
    <w:p w:rsidR="00EB605D" w:rsidRDefault="00EB605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07E11" w:rsidRDefault="00F07E11"/>
    <w:sectPr w:rsidR="00F07E11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D"/>
    <w:rsid w:val="008A77CF"/>
    <w:rsid w:val="00B95E72"/>
    <w:rsid w:val="00EB605D"/>
    <w:rsid w:val="00F0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60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EB605D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EB605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1683</Words>
  <Characters>9594</Characters>
  <Application>Microsoft Office Word</Application>
  <DocSecurity>0</DocSecurity>
  <Lines>79</Lines>
  <Paragraphs>22</Paragraphs>
  <ScaleCrop>false</ScaleCrop>
  <Company>Домашняя версия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s.savin</dc:creator>
  <cp:keywords/>
  <dc:description/>
  <cp:lastModifiedBy>s.savin</cp:lastModifiedBy>
  <cp:revision>1</cp:revision>
  <dcterms:created xsi:type="dcterms:W3CDTF">2010-12-22T11:01:00Z</dcterms:created>
  <dcterms:modified xsi:type="dcterms:W3CDTF">2010-12-22T11:02:00Z</dcterms:modified>
</cp:coreProperties>
</file>