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9B" w:rsidRDefault="00BA279B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A279B" w:rsidRDefault="00BA279B">
      <w:pPr>
        <w:pStyle w:val="ConsPlusNormal"/>
        <w:jc w:val="both"/>
        <w:outlineLvl w:val="0"/>
      </w:pPr>
    </w:p>
    <w:p w:rsidR="00BA279B" w:rsidRDefault="00BA279B">
      <w:pPr>
        <w:pStyle w:val="ConsPlusNormal"/>
        <w:outlineLvl w:val="0"/>
      </w:pPr>
      <w:r>
        <w:t>Зарегистрировано в Минюсте России 7 октября 2022 г. N 70433</w:t>
      </w:r>
    </w:p>
    <w:p w:rsidR="00BA279B" w:rsidRDefault="00BA27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Title"/>
        <w:jc w:val="center"/>
      </w:pPr>
      <w:r>
        <w:t>МИНИСТЕРСТВО ЭНЕРГЕТИКИ РОССИЙСКОЙ ФЕДЕРАЦИИ</w:t>
      </w:r>
    </w:p>
    <w:p w:rsidR="00BA279B" w:rsidRDefault="00BA279B">
      <w:pPr>
        <w:pStyle w:val="ConsPlusTitle"/>
        <w:jc w:val="center"/>
      </w:pPr>
    </w:p>
    <w:p w:rsidR="00BA279B" w:rsidRDefault="00BA279B">
      <w:pPr>
        <w:pStyle w:val="ConsPlusTitle"/>
        <w:jc w:val="center"/>
      </w:pPr>
      <w:r>
        <w:t>ПРИКАЗ</w:t>
      </w:r>
    </w:p>
    <w:p w:rsidR="00BA279B" w:rsidRDefault="00BA279B">
      <w:pPr>
        <w:pStyle w:val="ConsPlusTitle"/>
        <w:jc w:val="center"/>
      </w:pPr>
      <w:r>
        <w:t>от 12 августа 2022 г. N 811</w:t>
      </w:r>
    </w:p>
    <w:p w:rsidR="00BA279B" w:rsidRDefault="00BA279B">
      <w:pPr>
        <w:pStyle w:val="ConsPlusTitle"/>
        <w:jc w:val="center"/>
      </w:pPr>
    </w:p>
    <w:p w:rsidR="00BA279B" w:rsidRDefault="00BA279B">
      <w:pPr>
        <w:pStyle w:val="ConsPlusTitle"/>
        <w:jc w:val="center"/>
      </w:pPr>
      <w:r>
        <w:t>ОБ УТВЕРЖДЕНИИ ПРАВИЛ</w:t>
      </w:r>
    </w:p>
    <w:p w:rsidR="00BA279B" w:rsidRDefault="00BA279B">
      <w:pPr>
        <w:pStyle w:val="ConsPlusTitle"/>
        <w:jc w:val="center"/>
      </w:pPr>
      <w:r>
        <w:t>ТЕХНИЧЕСКОЙ ЭКСПЛУАТАЦИИ ЭЛЕКТРОУСТАНОВОК ПОТРЕБИТЕЛЕЙ</w:t>
      </w:r>
    </w:p>
    <w:p w:rsidR="00BA279B" w:rsidRDefault="00BA279B">
      <w:pPr>
        <w:pStyle w:val="ConsPlusTitle"/>
        <w:jc w:val="center"/>
      </w:pPr>
      <w:r>
        <w:t>ЭЛЕКТРИЧЕСКОЙ ЭНЕРГИИ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абзацем третьим пункта 3</w:t>
        </w:r>
      </w:hyperlink>
      <w:r>
        <w:t xml:space="preserve"> постановления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&lt;1&gt;, </w:t>
      </w:r>
      <w:hyperlink r:id="rId6">
        <w:r>
          <w:rPr>
            <w:color w:val="0000FF"/>
          </w:rPr>
          <w:t>подпунктом "а" пункта 1</w:t>
        </w:r>
      </w:hyperlink>
      <w:r>
        <w:t xml:space="preserve"> и </w:t>
      </w:r>
      <w:hyperlink r:id="rId7">
        <w:r>
          <w:rPr>
            <w:color w:val="0000FF"/>
          </w:rPr>
          <w:t>пунктом 2.1</w:t>
        </w:r>
      </w:hyperlink>
      <w:r>
        <w:t xml:space="preserve"> постановления Правительства Российской Федерации от 2 марта 2017 г. N 244 "О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Федерации" &lt;2&gt; приказываю: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2018, N 34, ст. 5483.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2017, N 11, ст. 1562, 2018, N 34, ст. 5483.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1">
        <w:r>
          <w:rPr>
            <w:color w:val="0000FF"/>
          </w:rPr>
          <w:t>Правила</w:t>
        </w:r>
      </w:hyperlink>
      <w:r>
        <w:t xml:space="preserve"> технической эксплуатации электроустановок потребителей электрической энергии.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A279B" w:rsidRDefault="00BA279B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Минэнерго России от 13 января 2003 г. N 6 "Об утверждении Правил технической эксплуатации электроустановок потребителей" &lt;3&gt;;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&lt;3&gt; Зарегистрирован Минюстом России 22 января 2003 г., регистрационный N 4145.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hyperlink r:id="rId9">
        <w:r>
          <w:rPr>
            <w:color w:val="0000FF"/>
          </w:rPr>
          <w:t>абзац второй пункта 2</w:t>
        </w:r>
      </w:hyperlink>
      <w:r>
        <w:t xml:space="preserve"> приказа Минэнерго России от 13 сентября 2018 г. N 757 "Об утверждении Правил переключений в электроустановках" &lt;4&gt;.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&lt;4&gt; Зарегистрирован Минюстом России 22 ноября 2018 г., регистрационный N 52754.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3. Настоящий приказ вступает в силу по истечении трех месяцев со дня его официального опубликования.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jc w:val="right"/>
      </w:pPr>
      <w:r>
        <w:t>Министр</w:t>
      </w:r>
    </w:p>
    <w:p w:rsidR="00BA279B" w:rsidRDefault="00BA279B">
      <w:pPr>
        <w:pStyle w:val="ConsPlusNormal"/>
        <w:jc w:val="right"/>
      </w:pPr>
      <w:r>
        <w:t>Н.Г.ШУЛЬГИНОВ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jc w:val="right"/>
        <w:outlineLvl w:val="0"/>
      </w:pPr>
      <w:r>
        <w:t>Утверждены</w:t>
      </w:r>
    </w:p>
    <w:p w:rsidR="00BA279B" w:rsidRDefault="00BA279B">
      <w:pPr>
        <w:pStyle w:val="ConsPlusNormal"/>
        <w:jc w:val="right"/>
      </w:pPr>
      <w:r>
        <w:t>приказом Минэнерго России</w:t>
      </w:r>
    </w:p>
    <w:p w:rsidR="00BA279B" w:rsidRDefault="00BA279B">
      <w:pPr>
        <w:pStyle w:val="ConsPlusNormal"/>
        <w:jc w:val="right"/>
      </w:pPr>
      <w:r>
        <w:t>от 12 августа 2022 г. N 811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Title"/>
        <w:jc w:val="center"/>
      </w:pPr>
      <w:bookmarkStart w:id="1" w:name="P41"/>
      <w:bookmarkEnd w:id="1"/>
      <w:r>
        <w:t>ПРАВИЛА</w:t>
      </w:r>
    </w:p>
    <w:p w:rsidR="00BA279B" w:rsidRDefault="00BA279B">
      <w:pPr>
        <w:pStyle w:val="ConsPlusTitle"/>
        <w:jc w:val="center"/>
      </w:pPr>
      <w:r>
        <w:t>ТЕХНИЧЕСКОЙ ЭКСПЛУАТАЦИИ ЭЛЕКТРОУСТАНОВОК ПОТРЕБИТЕЛЕЙ</w:t>
      </w:r>
    </w:p>
    <w:p w:rsidR="00BA279B" w:rsidRDefault="00BA279B">
      <w:pPr>
        <w:pStyle w:val="ConsPlusTitle"/>
        <w:jc w:val="center"/>
      </w:pPr>
      <w:r>
        <w:t>ЭЛЕКТРИЧЕСКОЙ ЭНЕРГИИ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Title"/>
        <w:jc w:val="center"/>
        <w:outlineLvl w:val="1"/>
      </w:pPr>
      <w:r>
        <w:t>I. Общие положения</w:t>
      </w:r>
    </w:p>
    <w:p w:rsidR="00BA279B" w:rsidRDefault="00BA279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27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79B" w:rsidRDefault="00BA27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79B" w:rsidRDefault="00BA27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279B" w:rsidRDefault="00BA27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A279B" w:rsidRDefault="00BA279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абзац второй пункта 1 настоящих Правил, а не пункт 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79B" w:rsidRDefault="00BA279B">
            <w:pPr>
              <w:pStyle w:val="ConsPlusNormal"/>
            </w:pPr>
          </w:p>
        </w:tc>
      </w:tr>
    </w:tbl>
    <w:p w:rsidR="00BA279B" w:rsidRDefault="00BA279B">
      <w:pPr>
        <w:pStyle w:val="ConsPlusNormal"/>
        <w:spacing w:before="280"/>
        <w:ind w:firstLine="540"/>
        <w:jc w:val="both"/>
      </w:pPr>
      <w:r>
        <w:t xml:space="preserve">1. Настоящие Правила технической эксплуатации электроустановок потребителей электрической энергии (далее - Правила) устанавливают требования к организации и осуществлению технической эксплуатации электроустановок потребителей электрической энергии (далее - электроустановки) и распространяются на потребителей электрической энергии - юридических лиц, индивидуальных предпринимателей и физических лиц, владеющих на праве собственности или ином законном основании электроустановками, за исключением потребителей - физических лиц, указанных в </w:t>
      </w:r>
      <w:hyperlink w:anchor="P52">
        <w:r>
          <w:rPr>
            <w:color w:val="0000FF"/>
          </w:rPr>
          <w:t>пункте 3</w:t>
        </w:r>
      </w:hyperlink>
      <w:r>
        <w:t xml:space="preserve"> Правил (далее - потребитель).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Правила не распространяются на потребителей - физических лиц, владеющих на праве собственности или ином законном основании электроустановками напряжением ниже 1000 В и использующих данные электроустановки для удовлетворения личных или бытовых нужд.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2. В Правилах используются термины и определения в значениях, установленных законодательством Российской Федерации, а также термины и определения, указанные в </w:t>
      </w:r>
      <w:hyperlink w:anchor="P464">
        <w:r>
          <w:rPr>
            <w:color w:val="0000FF"/>
          </w:rPr>
          <w:t>приложении N 1</w:t>
        </w:r>
      </w:hyperlink>
      <w:r>
        <w:t xml:space="preserve"> к Правилам.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2" w:name="P52"/>
      <w:bookmarkEnd w:id="2"/>
      <w:r>
        <w:t>3. Техническая эксплуатация (далее - эксплуатация) электроустановок должна включать: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ввод в работу новых, реконструированных (модернизированных, технически перевооружаемых) электроустановок, нового (модернизированного) оборудования и новых (модернизированных) устройств, входящих в состав электроустановок;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использование электроустановок по функциональному назначению;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формирование и использование по назначению документации, указанной в Правилах;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оперативно-технологическое управление электроустановками;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ремонт и техническое обслуживание электроустановок;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консервацию, реконструкцию (техническое перевооружение, модернизацию) электроустановок в части, не относящейся к предмету законодательства Российской Федерации о градостроительной деятельности.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4. При эксплуатации электроустановок вне зависимости от их вида и предназначения потребителем должны выполняться требования </w:t>
      </w:r>
      <w:hyperlink w:anchor="P62">
        <w:r>
          <w:rPr>
            <w:color w:val="0000FF"/>
          </w:rPr>
          <w:t>глав II</w:t>
        </w:r>
      </w:hyperlink>
      <w:r>
        <w:t xml:space="preserve"> - </w:t>
      </w:r>
      <w:hyperlink w:anchor="P277">
        <w:r>
          <w:rPr>
            <w:color w:val="0000FF"/>
          </w:rPr>
          <w:t>IV</w:t>
        </w:r>
      </w:hyperlink>
      <w:r>
        <w:t xml:space="preserve"> Правил.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lastRenderedPageBreak/>
        <w:t xml:space="preserve">При эксплуатации электросварочных, электротермических установок, а также стационарных и передвижных источников электрической энергии, работающих в изолированном (автономном) от энергосистемы режиме, потребителем дополнительно должны выполняться требования </w:t>
      </w:r>
      <w:hyperlink w:anchor="P314">
        <w:r>
          <w:rPr>
            <w:color w:val="0000FF"/>
          </w:rPr>
          <w:t>глав V</w:t>
        </w:r>
      </w:hyperlink>
      <w:r>
        <w:t xml:space="preserve"> - </w:t>
      </w:r>
      <w:hyperlink w:anchor="P436">
        <w:r>
          <w:rPr>
            <w:color w:val="0000FF"/>
          </w:rPr>
          <w:t>XII</w:t>
        </w:r>
      </w:hyperlink>
      <w:r>
        <w:t xml:space="preserve"> Правил.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Title"/>
        <w:jc w:val="center"/>
        <w:outlineLvl w:val="1"/>
      </w:pPr>
      <w:bookmarkStart w:id="3" w:name="P62"/>
      <w:bookmarkEnd w:id="3"/>
      <w:r>
        <w:t>II. Общие требования к организации и осуществлению</w:t>
      </w:r>
    </w:p>
    <w:p w:rsidR="00BA279B" w:rsidRDefault="00BA279B">
      <w:pPr>
        <w:pStyle w:val="ConsPlusTitle"/>
        <w:jc w:val="center"/>
      </w:pPr>
      <w:r>
        <w:t>эксплуатации электроустановок потребителей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 xml:space="preserve">5. Эксплуатация электроустановок должна осуществляться с соблюдением требований Правил, нормативных правовых актов Российской Федерации, устанавливающих требования к обеспечению надежности электроэнергетических систем, надежности и безопасности объектов электроэнергетики и энергопринимающих установок и обеспечению качества электрической энергии, утвержденных Минэнерго России в соответствии с </w:t>
      </w:r>
      <w:hyperlink r:id="rId10">
        <w:r>
          <w:rPr>
            <w:color w:val="0000FF"/>
          </w:rPr>
          <w:t>пунктом 2 статьи 28</w:t>
        </w:r>
      </w:hyperlink>
      <w:r>
        <w:t xml:space="preserve"> Федерального закона от 26 марта 2003 г. N 35-ФЗ "Об электроэнергетике" &lt;5&gt;,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&lt;6&gt; и (или)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марта 2017 г. N 244 "О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Федерации" &lt;7&gt; (далее - нормативные правовые акты, устанавливающие требования надежности и безопасности в сфере электроэнергетики), и на основании технической (в том числе инструктивной и оперативной) документации, разработанной и утвержденной потребителем в соответствии с </w:t>
      </w:r>
      <w:hyperlink w:anchor="P215">
        <w:r>
          <w:rPr>
            <w:color w:val="0000FF"/>
          </w:rPr>
          <w:t>главой III</w:t>
        </w:r>
      </w:hyperlink>
      <w:r>
        <w:t xml:space="preserve"> Правил, а также с учетом требований проектной документации и документации организаций - изготовителей оборудования, входящего в состав электроустановок.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2003, N 13, ст. 1177; 2022, N 24, ст. 3934.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2018, N 34, ст. 5483; 2021, N 6, ст. 985.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2017, N 11, ст. 1562; 2022, N 18, ст. 3094.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bookmarkStart w:id="4" w:name="P71"/>
      <w:bookmarkEnd w:id="4"/>
      <w:r>
        <w:t xml:space="preserve">6. При эксплуатации принадлежащих потребителю объектов по производству электрической энергии и (или) объектов электросетевого хозяйства, присоединенных к электроэнергетической системе (за исключением объектов электросетевого хозяйства классом напряжения 0,4 кВ и ниже, присоединенных к электрическим сетям на уровне напряжения 0,4 кВ), должны соблюдаться требования </w:t>
      </w:r>
      <w:hyperlink r:id="rId13">
        <w:r>
          <w:rPr>
            <w:color w:val="0000FF"/>
          </w:rPr>
          <w:t>Правил</w:t>
        </w:r>
      </w:hyperlink>
      <w:r>
        <w:t xml:space="preserve"> технической эксплуатации электрических станций и сетей Российской Федерации, утверждаемых Минэнерго России в соответствии с </w:t>
      </w:r>
      <w:hyperlink r:id="rId14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&lt;8&gt; (далее - Правила технической эксплуатации электрических станций и сетей).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2018, N 34, ст. 5483.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7. При эксплуатации электроустановок потребитель должен обеспечить: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а) содержание электроустановок в исправном состоянии и их безопасную эксплуатацию;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lastRenderedPageBreak/>
        <w:t>б) проведение технического обслуживания и ремонта электроустановок в целях поддержания исправного состояния и безопасной эксплуатации электроустановок;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в) соответствие технических характеристик и параметров технологического режима работы электроустановок указанным в </w:t>
      </w:r>
      <w:hyperlink w:anchor="P71">
        <w:r>
          <w:rPr>
            <w:color w:val="0000FF"/>
          </w:rPr>
          <w:t>пункте 6</w:t>
        </w:r>
      </w:hyperlink>
      <w:r>
        <w:t xml:space="preserve"> Правил требованиям, обеспечивающим нахождение параметров электроэнергетического режима работы электроэнергетической системы в пределах допустимых значений;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г) подготовку и подтверждение готовности работников, осуществляющих трудовые функции по эксплуатации электроустановок (далее - персонал), к выполнению трудовых функций в сфере электроэнергетики, связанных с эксплуатацией электроустановок, в соответствии с </w:t>
      </w:r>
      <w:hyperlink w:anchor="P277">
        <w:r>
          <w:rPr>
            <w:color w:val="0000FF"/>
          </w:rPr>
          <w:t>главой IV</w:t>
        </w:r>
      </w:hyperlink>
      <w:r>
        <w:t xml:space="preserve"> Правил;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д) оперативно-технологическое управление электроустановками;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е) контроль за техническим состоянием электроустановок и эксплуатацией принадлежащих потребителю на праве собственности или ином законном основании объектов по производству электрической энергии, в том числе работающих автономно от электроэнергетических систем;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ж) содержание в исправном состоянии устройств релейной защиты и автоматики, необходимых для защиты линий электропередачи (далее - ЛЭП) и оборудования, входящего в состав электроустановок (далее - оборудование);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з) контроль за соблюдением режимов работы электроустановок и потребления электрической энергии, заданных гарантирующим поставщиком (энергосбытовой, энергоснабжающей организацией), сетевой организацией в соответствии с условиями договоров энергоснабжения, купли-продажи (поставки) электрической энергии и мощности или договоров об оказании услуг по передаче электрической энергии, заключенных в соответствии с </w:t>
      </w:r>
      <w:hyperlink r:id="rId15">
        <w:r>
          <w:rPr>
            <w:color w:val="0000FF"/>
          </w:rPr>
          <w:t>Правилами</w:t>
        </w:r>
      </w:hyperlink>
      <w:r>
        <w:t xml:space="preserve"> оптового рынка электрической энергии и мощности, утвержденными постановлением Правительства Российской Федерации от 27 декабря 2010 г. N 1172 &lt;9&gt;, Основными </w:t>
      </w:r>
      <w:hyperlink r:id="rId16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&lt;10&gt;, и </w:t>
      </w:r>
      <w:hyperlink r:id="rId17">
        <w:r>
          <w:rPr>
            <w:color w:val="0000FF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&lt;11&gt;;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2011, N 14, ст. 1916; 2022, N 39, ст. 6648.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2012, N 23, ст. 3008; 2022, N 27, ст. 4863.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2004, N 52, ст. 5525; 2022, N 27, ст. 4863.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и) учет, расследование и анализ причин аварий в электроэнергетике, произошедших на объектах потребителя, а также принятие мер по устранению причин их возникновения;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к) наличие, использование и поддержание в актуальном состоянии технической (в том числе инструктивной и оперативной) документации, необходимой для эксплуатации электроустановок и выполнения персоналом потребителя возложенных на него трудовых функций;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л) укомплектование электроустановок средствами защиты в электроустановках, инструментом, запасными частями и материалами, необходимыми для выполнения требований </w:t>
      </w:r>
      <w:r>
        <w:lastRenderedPageBreak/>
        <w:t xml:space="preserve">настоящей главы и </w:t>
      </w:r>
      <w:hyperlink w:anchor="P314">
        <w:r>
          <w:rPr>
            <w:color w:val="0000FF"/>
          </w:rPr>
          <w:t>глав V</w:t>
        </w:r>
      </w:hyperlink>
      <w:r>
        <w:t xml:space="preserve"> - </w:t>
      </w:r>
      <w:hyperlink w:anchor="P436">
        <w:r>
          <w:rPr>
            <w:color w:val="0000FF"/>
          </w:rPr>
          <w:t>XII</w:t>
        </w:r>
      </w:hyperlink>
      <w:r>
        <w:t xml:space="preserve"> Правил;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м) проведение испытаний электрооборудования в соответствии с </w:t>
      </w:r>
      <w:hyperlink w:anchor="P194">
        <w:r>
          <w:rPr>
            <w:color w:val="0000FF"/>
          </w:rPr>
          <w:t>пунктом 26</w:t>
        </w:r>
      </w:hyperlink>
      <w:r>
        <w:t xml:space="preserve"> и </w:t>
      </w:r>
      <w:hyperlink w:anchor="P334">
        <w:r>
          <w:rPr>
            <w:color w:val="0000FF"/>
          </w:rPr>
          <w:t>главами VI</w:t>
        </w:r>
      </w:hyperlink>
      <w:r>
        <w:t xml:space="preserve"> - </w:t>
      </w:r>
      <w:hyperlink w:anchor="P414">
        <w:r>
          <w:rPr>
            <w:color w:val="0000FF"/>
          </w:rPr>
          <w:t>XI</w:t>
        </w:r>
      </w:hyperlink>
      <w:r>
        <w:t xml:space="preserve"> Правил;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н) эксплуатацию устройств молниезащиты, измерительных приборов и средств учета электрической энергии.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5" w:name="P94"/>
      <w:bookmarkEnd w:id="5"/>
      <w:r>
        <w:t>8. Потребителем организационно-распорядительным актом должна быть определена организационная структура управления электроустановками, распределены границы эксплуатационной ответственности и функции по обслуживанию и контролю за техническим состоянием ЛЭП, оборудования, устройств, зданий и сооружений электроустановок между структурными подразделениями и должностными лицами потребителя - юридического лица, определены должностные обязанности персонала, отвечающего за эксплуатацию и контроль состояния ЛЭП, оборудования, устройств, зданий и сооружений электроустановок потребителя.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Для непосредственного выполнения обязанностей по организации эксплуатации электроустановок руководитель потребителя (за исключением индивидуальных предпринимателей и физических лиц) организационно-распорядительным документом назначает из числа административно-технического персонала потребителя лицо, на которое возложены обязанности по организации проведения всех видов работ в электроустановках потребителя (далее - ответственный за электрохозяйство), и его заместителя с соблюдением требований, предусмотренных </w:t>
      </w:r>
      <w:hyperlink w:anchor="P115">
        <w:r>
          <w:rPr>
            <w:color w:val="0000FF"/>
          </w:rPr>
          <w:t>пунктами 10</w:t>
        </w:r>
      </w:hyperlink>
      <w:r>
        <w:t xml:space="preserve"> и </w:t>
      </w:r>
      <w:hyperlink w:anchor="P118">
        <w:r>
          <w:rPr>
            <w:color w:val="0000FF"/>
          </w:rPr>
          <w:t>11</w:t>
        </w:r>
      </w:hyperlink>
      <w:r>
        <w:t xml:space="preserve"> Правил. Случаи, в которых осуществляется замещение ответственного за электрохозяйство для выполнения его обязанностей, должны определяться руководителем потребителя в организационно-распорядительном документе. Лицо, замещающее ответственного за электрохозяйство, назначается руководителем потребителя на время отсутствия ответственного за электрохозяйство из числа административно-технического персонала.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В случае если потребитель, осуществляющий эксплуатацию электроустановки, является индивидуальным предпринимателем, обязанность по организации эксплуатации электроустановок, организации проведения всех видов работ в электроустановках возлагается непосредственно на такого индивидуального предпринимателя.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Для потребителей - физических лиц, осуществляющих эксплуатацию электроустановок напряжением выше 1000 В, обязанность по организации эксплуатации электроустановок, организации проведения всех видов работ в электроустановках возлагается на такое физическое лицо.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В случае если электроустановка потребителя - юридического лица включает в себя только вводное (вводно-распределительное) устройство, осветительную установку, переносное электрооборудование, имеющие номинальное напряжение не выше 0,4 кВ, либо электроустановки имеют суммарную максимальную мощность не более 150 кВт, номинальное напряжение до 1000 В и присоединены к одному источнику электроснабжения, ответственность за выполнение обязанностей по организации эксплуатации электроустановок, организации проведения всех видов работ в электроустановках такого потребителя в соответствии с настоящим пунктом Правил может быть возложена на единоличный исполнительный орган указанного потребителя - юридического лица.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9. На ответственного за электрохозяйство должны быть возложены полномочия по: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а) организации разработки и ведению документации по вопросам организации эксплуатации электроустановок и ее пересмотру (актуализации) в соответствии с </w:t>
      </w:r>
      <w:hyperlink w:anchor="P215">
        <w:r>
          <w:rPr>
            <w:color w:val="0000FF"/>
          </w:rPr>
          <w:t>главой III</w:t>
        </w:r>
      </w:hyperlink>
      <w:r>
        <w:t xml:space="preserve"> Правил;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б) организации и обеспечению проведения работы с персоналом в соответствии с </w:t>
      </w:r>
      <w:hyperlink w:anchor="P277">
        <w:r>
          <w:rPr>
            <w:color w:val="0000FF"/>
          </w:rPr>
          <w:t>главой IV</w:t>
        </w:r>
      </w:hyperlink>
      <w:r>
        <w:t xml:space="preserve"> Правил;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lastRenderedPageBreak/>
        <w:t>в) организации безопасного проведения всех видов работ в электроустановках, в том числе с участием работников организаций, выполняющих функции по оперативному и (или) техническому обслуживанию, ремонту, наладке, испытаниям электроустановок, принадлежащих на праве собственности или ином законном основании потребителю, и не состоящих в его штате, в том числе осуществлению контроля правильности допуска персонала строительно-монтажных и специализированных организаций к работам в действующих электроустановках и в охранных зонах объектов электросетевого хозяйства;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г) обеспечению выполнения ремонта и технического обслуживания электроустановок;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д) контролю наличия средств защиты в электроустановках и инструмента, необходимых для эксплуатации электроустановок, проведения проверок и испытаний таких средств защиты и инструмента в соответствии с нормативными правовыми актами, устанавливающими требования надежности и безопасности в сфере электроэнергетики, а также Правилами;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е) обеспечению ввода ЛЭП, оборудования, устройств, входящих в состав электроустановок, в работу в соответствии с нормативными правовыми актами, устанавливающими требования надежности и безопасности в сфере электроэнергетики, а также Правилами;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ж) организации оперативного обслуживания электроустановок и ликвидации технологических нарушений в электроустановках;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з) обеспечению проверок соответствия исполнительных технологических схем (чертежей), представляющих собой графическое представление последовательности основных стадий (операций) технологического процесса, и схем электрических соединений фактическим эксплуатационным схемам и пересмотру (актуализации) указанных схем в соответствии с </w:t>
      </w:r>
      <w:hyperlink w:anchor="P243">
        <w:r>
          <w:rPr>
            <w:color w:val="0000FF"/>
          </w:rPr>
          <w:t>пунктами 30</w:t>
        </w:r>
      </w:hyperlink>
      <w:r>
        <w:t xml:space="preserve"> и </w:t>
      </w:r>
      <w:hyperlink w:anchor="P246">
        <w:r>
          <w:rPr>
            <w:color w:val="0000FF"/>
          </w:rPr>
          <w:t>31</w:t>
        </w:r>
      </w:hyperlink>
      <w:r>
        <w:t xml:space="preserve"> Правил;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и) обеспечению не реже одного раза в 2 года контроля значений показателей качества электрической энергии, обусловленных работой электроустановок, в том числе путем проведения замеров таких показателей;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к) обеспечению контроля соблюдения и поддержания режима работы электроустановок и режима потребления электрической энергии, в том числе режимов потребления реактивной мощности, заданных потребителю в соответствии с договором оказания услуг по передаче электрической энергии, договором купли-продажи (поставки) электрической энергии (мощности) или договором энергоснабжения;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л) обеспечению поддержания автономных резервных источников питания, установленных в соответствии с техническими условиями на технологическое присоединение к электрическим сетям, </w:t>
      </w:r>
      <w:hyperlink r:id="rId18">
        <w:r>
          <w:rPr>
            <w:color w:val="0000FF"/>
          </w:rPr>
          <w:t>пунктами 16</w:t>
        </w:r>
      </w:hyperlink>
      <w:r>
        <w:t xml:space="preserve">, </w:t>
      </w:r>
      <w:hyperlink r:id="rId19">
        <w:r>
          <w:rPr>
            <w:color w:val="0000FF"/>
          </w:rPr>
          <w:t>16.1</w:t>
        </w:r>
      </w:hyperlink>
      <w:r>
        <w:t xml:space="preserve">, </w:t>
      </w:r>
      <w:hyperlink r:id="rId20">
        <w:r>
          <w:rPr>
            <w:color w:val="0000FF"/>
          </w:rPr>
          <w:t>29</w:t>
        </w:r>
      </w:hyperlink>
      <w:r>
        <w:t xml:space="preserve"> и </w:t>
      </w:r>
      <w:hyperlink r:id="rId21">
        <w:r>
          <w:rPr>
            <w:color w:val="0000FF"/>
          </w:rPr>
          <w:t>37</w:t>
        </w:r>
      </w:hyperlink>
      <w:r>
        <w:t xml:space="preserve"> Правил полного и (или) частичного ограничения режима потребления электрической энергии, утвержденных постановлением Правительства Российской Федерации от 4 мая 2012 г. N 442 &lt;12&gt;, </w:t>
      </w:r>
      <w:hyperlink r:id="rId22">
        <w:r>
          <w:rPr>
            <w:color w:val="0000FF"/>
          </w:rPr>
          <w:t>пунктом 31.6</w:t>
        </w:r>
      </w:hyperlink>
      <w: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&lt;13&gt;, в состоянии готовности к использованию при возникновении внерегламентных отключений, введении аварийных ограничений режима потребления электрической энергии или использовании противоаварийной автоматики.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2012, N 23, ст. 3008; 2017, N 23, ст. 3323; 2018, N 39, ст. 5970.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2004, N 52, ст. 5525; 2012, N 23, ст. 3008; 2018, N 34, ст. 5483; 2022, N 27, ст. 4863.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bookmarkStart w:id="6" w:name="P115"/>
      <w:bookmarkEnd w:id="6"/>
      <w:r>
        <w:t xml:space="preserve">10. Назначение ответственного за электрохозяйство и его заместителя осуществляется после проверки знаний в соответствии с </w:t>
      </w:r>
      <w:hyperlink w:anchor="P277">
        <w:r>
          <w:rPr>
            <w:color w:val="0000FF"/>
          </w:rPr>
          <w:t>главой IV</w:t>
        </w:r>
      </w:hyperlink>
      <w:r>
        <w:t xml:space="preserve"> Правил и присвоения им следующей группы по электробезопасности: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V - в электроустановках напряжением выше 1000 В;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IV - в электроустановках напряжением до 1000 В.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11. Необходимость назначения ответственных за электрохозяйство структурных подразделений потребителя определяется руководителем потребителя самостоятельно с учетом организационной структуры управления, количества и состава электроустановок потребителя, их территориального расположения, наличия у потребителя филиалов.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Возложение на указанных лиц выполнения обязанностей осуществляется с учетом положений </w:t>
      </w:r>
      <w:hyperlink w:anchor="P94">
        <w:r>
          <w:rPr>
            <w:color w:val="0000FF"/>
          </w:rPr>
          <w:t>пункта 8</w:t>
        </w:r>
      </w:hyperlink>
      <w:r>
        <w:t xml:space="preserve"> Правил.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8" w:name="P120"/>
      <w:bookmarkEnd w:id="8"/>
      <w:r>
        <w:t>12. Потребителем должны быть определены работники: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а) имеющие право выполнения переключений в электроустановках, ведения оперативных переговоров;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>б) имеющие право подачи и согласования диспетчерских и оперативных заявок на изменение технологического режима работы или эксплуатационного состояния ЛЭП, оборудования и устройств в составе электроустановок;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в) имеющие право единоличного осмотра электроустановок;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г) имеющие право отдавать распоряжения, выдавать наряды-допуски, выдавать разрешения на подготовку рабочего места и допуск к производству работ в электроустановках, выполнять обязанности допускающего, ответственного руководителя работ, производителя работ, наблюдающего в соответствии с </w:t>
      </w:r>
      <w:hyperlink r:id="rId23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электроустановок, утвержденными приказом Минтруда России от 15 декабря 2020 г. N 903н &lt;14&gt; (далее - Правила по охране труда при эксплуатации электроустановок и приказ Минтруда России N 903н соответственно);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&lt;14&gt; Зарегистрирован Минюстом России 30 декабря 2020 г., регистрационный N 61957, с изменениями, внесенными приказом Минтруда России от 29 апреля 2022 г. N 279н (зарегистрирован Минюстом России 1 июня 2022 г., регистрационный N 68657). В соответствии с </w:t>
      </w:r>
      <w:hyperlink r:id="rId24">
        <w:r>
          <w:rPr>
            <w:color w:val="0000FF"/>
          </w:rPr>
          <w:t>пунктом 3</w:t>
        </w:r>
      </w:hyperlink>
      <w:r>
        <w:t xml:space="preserve"> приказа Минтруда России N 903н данный акт действует до 31 декабря 2025 г.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д) допущенные к проверке подземных сооружений на загазованность (при наличии у потребителя таких сооружений);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е) имеющие право производства специальных работ в электроустановках (при определенной потребителем необходимости выполнения таких работ).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13. Списки работников, указанных в </w:t>
      </w:r>
      <w:hyperlink w:anchor="P120">
        <w:r>
          <w:rPr>
            <w:color w:val="0000FF"/>
          </w:rPr>
          <w:t>пункте 12</w:t>
        </w:r>
      </w:hyperlink>
      <w:r>
        <w:t xml:space="preserve"> Правил, должны быть в наличии у ответственного за электрохозяйство, а также на рабочих местах персонала в соответствии с </w:t>
      </w:r>
      <w:hyperlink w:anchor="P237">
        <w:r>
          <w:rPr>
            <w:color w:val="0000FF"/>
          </w:rPr>
          <w:t>пунктами 29</w:t>
        </w:r>
      </w:hyperlink>
      <w:r>
        <w:t xml:space="preserve"> и </w:t>
      </w:r>
      <w:hyperlink w:anchor="P273">
        <w:r>
          <w:rPr>
            <w:color w:val="0000FF"/>
          </w:rPr>
          <w:t>36</w:t>
        </w:r>
      </w:hyperlink>
      <w:r>
        <w:t xml:space="preserve"> Правил.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Потребитель должен ежегодно до 1 января предоставлять списки работников, указанных в </w:t>
      </w:r>
      <w:hyperlink w:anchor="P121">
        <w:r>
          <w:rPr>
            <w:color w:val="0000FF"/>
          </w:rPr>
          <w:t>подпунктах "а"</w:t>
        </w:r>
      </w:hyperlink>
      <w:r>
        <w:t xml:space="preserve"> и </w:t>
      </w:r>
      <w:hyperlink w:anchor="P122">
        <w:r>
          <w:rPr>
            <w:color w:val="0000FF"/>
          </w:rPr>
          <w:t>"б" пункта 12</w:t>
        </w:r>
      </w:hyperlink>
      <w:r>
        <w:t xml:space="preserve"> Правил, а также информацию об ответственном за электрохозяйство и его заместителях (при наличии) в обслуживающую его сетевую (энергоснабжающую) </w:t>
      </w:r>
      <w:r>
        <w:lastRenderedPageBreak/>
        <w:t>организацию и не позднее чем за 1 рабочий день до ввода в действие изменений в указанных списках или информации (до допуска работников к самостоятельной работе) уведомлять сетевую (энергоснабжающую) организацию о таких изменениях.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14. Потребитель должен организовать и осуществлять контроль технических параметров и состояния его электроустановок, основанный на показаниях контрольно-измерительной аппаратуры, результатах осмотров, испытаний, измерений и расчетов. Выявленные по результатам контроля дефекты ЛЭП, оборудования, устройств электроустановок должны фиксироваться в журнале дефектов с определением ответственных за устранение лиц и сроков устранения дефектов.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15. Потребитель должен организовать и осуществлять анализ работы электроустановок для оценки состояния и технологических режимов работы отдельных элементов и системы электроснабжения потребителя в целом. В случае если по результатам указанного анализа выявлены недостатки, влияющие на возможность и условия дальнейшей эксплуатации электроустановок потребителя, и (или) ненадлежащее техническое состояние отдельных элементов или системы электроснабжения в целом, и (или) риски нарушения электроснабжения, потребителем должны разрабатываться и в установленные потребителем с учетом вышеуказанных обстоятельств сроки выполняться мероприятия по повышению надежности и безопасности электроснабжения энергопринимающих установок потребителя.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16. Потребитель должен организовать оперативно-технологическое управление в отношении принадлежащих ему электроустановок в соответствии с нормативными правовыми актами, устанавливающими требования надежности и безопасности в сфере электроэнергетики, в том числе </w:t>
      </w:r>
      <w:hyperlink r:id="rId25">
        <w:r>
          <w:rPr>
            <w:color w:val="0000FF"/>
          </w:rPr>
          <w:t>Правилами</w:t>
        </w:r>
      </w:hyperlink>
      <w:r>
        <w:t xml:space="preserve"> технологического функционирования электроэнергетических систем, утвержденными постановлением Правительства Российской Федерации от 13 августа 2018 г. N 937 &lt;15&gt; (далее - Правила технологического функционирования электроэнергетических систем), и обеспечить осуществление такого оперативно-технологического управления в течение периода эксплуатации электроустановок.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&lt;15&gt; Собрание законодательства Российской Федерации, 2018, N 34, ст. 5483; 2021, N 6, ст. 985.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Для организации и осуществления оперативно-технологического управления принадлежащими потребителю объектами электросетевого хозяйства и энергопринимающими установками потребителем - юридическим лицом могут создаваться структурные подразделения, оперативный персонал которых должен выполнять функции технологического управления (ведения) в отношении ЛЭП, оборудования и устройств, находящихся в зоне эксплуатационного обслуживания такого потребителя, либо оперативно-технологическое управление ЛЭП, оборудованием и устройствами объектов электросетевого хозяйства потребителя может быть возложено на сетевую организацию.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Порядок взаимодействия потребителя и сетевой организации между собой при эксплуатации электроустановок, в том числе при осуществлении в отношении них оперативно-технологического управления, должен определяться в соответствии с </w:t>
      </w:r>
      <w:hyperlink r:id="rId26">
        <w:r>
          <w:rPr>
            <w:color w:val="0000FF"/>
          </w:rPr>
          <w:t>пунктом 40</w:t>
        </w:r>
      </w:hyperlink>
      <w:r>
        <w:t xml:space="preserve"> Правил технологического функционирования электроэнергетических систем &lt;16&gt;.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&lt;16&gt; Собрание законодательства Российской Федерации, 2018, N 34, ст. 5483.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В документах о технологическом взаимодействии потребителя и сетевой организации должен быть регламентирован в том числе порядок: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lastRenderedPageBreak/>
        <w:t>планирования графиков ремонтов ЛЭП, оборудования и технического обслуживания устройств релейной защиты и автоматики и средств диспетчерского и технологического управления потребителя;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оформления, подачи и согласования оперативных заявок и вывода ЛЭП, оборудования, устройств в ремонт;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обмена информацией о снижении надежности электроснабжения при реализации ремонтных схем;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организации аварийно-восстановительных работ;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участия в противоаварийных тренировках;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взаимодействия при организации и выполнении переключений в электроустановках;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использования источников реактивной мощности потребителя, участия потребителя в противоаварийном управлении.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17. Переключения в электроустановках должны осуществляться потребителем в соответствии с </w:t>
      </w:r>
      <w:hyperlink r:id="rId27">
        <w:r>
          <w:rPr>
            <w:color w:val="0000FF"/>
          </w:rPr>
          <w:t>Правилами</w:t>
        </w:r>
      </w:hyperlink>
      <w:r>
        <w:t xml:space="preserve"> переключений в электроустановках, утвержденными приказом Минэнерго России от 13 сентября 2018 г. N 757 &lt;17&gt; (далее - Правила переключений в электроустановках), с учетом требований настоящего пункта Правил.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&lt;17&gt; Зарегистрирован Минюстом России 22 ноября 2018 г., регистрационный N 52754, с изменениями, внесенными приказом Минэнерго России от 23 июня 2022 г. N 582 (зарегистрирован Минюстом России 29 июля 2022 г., регистрационный N 69462).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Переключения в электроустановках объектов электросетевого хозяйства классом напряжения 0,4 кВ и ниже, присоединенных к электрическим сетям на уровне напряжения 0,4 кВ, допускается выполнять единолично работнику из числа оперативного (оперативно-ремонтного) персонала, обслуживающего эти электроустановки.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18. При возникновении нарушений нормального режима в электрической части энергосистемы или технологических нарушений в электроустановках потребитель должен принимать меры по предотвращению их развития и ликвидировать такие нарушения в соответствии с </w:t>
      </w:r>
      <w:hyperlink r:id="rId28">
        <w:r>
          <w:rPr>
            <w:color w:val="0000FF"/>
          </w:rPr>
          <w:t>требованиями</w:t>
        </w:r>
      </w:hyperlink>
      <w:r>
        <w:t xml:space="preserve"> к обеспечению надежности электроэнергетических систем, надежности и безопасности объектов электроэнергетики и энергопринимающих установок "Правила предотвращения развития и ликвидации нарушений нормального режима электрической части энергосистем и объектов электроэнергетики", утвержденными приказом Минэнерго России от 12 июля 2018 г. N 548 &lt;18&gt; (далее - Правила предотвращения развития и ликвидации нарушений нормального режима).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&lt;18&gt; Зарегистрирован Минюстом России 20 августа 2018 г., регистрационный N 51938, с изменениями, внесенными приказом Минэнерго России от 13 февраля 2019 г. N 99 (зарегистрирован Минюстом России 14 марта 2019 г., регистрационный N 54038).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 xml:space="preserve">19. В случае если энергопринимающие установки потребителя включены в графики аварийного ограничения режима потребления электрической энергии (мощности) (далее - графики аварийного ограничения), потребителем должна быть обеспечена готовность к введению таких графиков и своевременное выполнение мероприятий по вводу графиков аварийного ограничения в действие в соответствии с </w:t>
      </w:r>
      <w:hyperlink r:id="rId29">
        <w:r>
          <w:rPr>
            <w:color w:val="0000FF"/>
          </w:rPr>
          <w:t>Правилами</w:t>
        </w:r>
      </w:hyperlink>
      <w:r>
        <w:t xml:space="preserve"> разработки и применения графиков аварийного </w:t>
      </w:r>
      <w:r>
        <w:lastRenderedPageBreak/>
        <w:t>ограничения режима потребления электрической энергии (мощности) и использования противоаварийной автоматики, утвержденными приказом Минэнерго России от 6 июня 2013 г. N 290 &lt;19&gt;.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&lt;19&gt; Зарегистрирован Минюстом России 9 августа 2013 г., регистрационный N 29348, с изменениями, внесенными приказом Минэнерго России от 18 октября 2018 г. N 898 (зарегистрирован Минюстом России 14 ноября 2018 г., регистрационный N 52677).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 xml:space="preserve">Потребители должны участвовать в проводимых сетевой организацией специализированных противоаварийных тренировках по отработке действий оперативного персонала при вводе графиков аварийного ограничения в соответствии с </w:t>
      </w:r>
      <w:hyperlink r:id="rId30">
        <w:r>
          <w:rPr>
            <w:color w:val="0000FF"/>
          </w:rPr>
          <w:t>пунктами 18</w:t>
        </w:r>
      </w:hyperlink>
      <w:r>
        <w:t xml:space="preserve">, </w:t>
      </w:r>
      <w:hyperlink r:id="rId31">
        <w:r>
          <w:rPr>
            <w:color w:val="0000FF"/>
          </w:rPr>
          <w:t>24</w:t>
        </w:r>
      </w:hyperlink>
      <w:r>
        <w:t xml:space="preserve"> и </w:t>
      </w:r>
      <w:hyperlink r:id="rId32">
        <w:r>
          <w:rPr>
            <w:color w:val="0000FF"/>
          </w:rPr>
          <w:t>главами V</w:t>
        </w:r>
      </w:hyperlink>
      <w:r>
        <w:t xml:space="preserve"> - </w:t>
      </w:r>
      <w:hyperlink r:id="rId33">
        <w:r>
          <w:rPr>
            <w:color w:val="0000FF"/>
          </w:rPr>
          <w:t>VII</w:t>
        </w:r>
      </w:hyperlink>
      <w:r>
        <w:t xml:space="preserve"> Правил проведения противоаварийных тренировок в организациях электроэнергетики Российской Федерации, утвержденных приказом Минэнерго России от 26 января 2021 г. N 27 &lt;20&gt; (далее - Правила проведения противоаварийных тренировок и приказ Минэнерго России N 27 соответственно).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&lt;20&gt; Зарегистрирован Минюстом России 23 марта 2021 г., регистрационный N 62846. В соответствии с </w:t>
      </w:r>
      <w:hyperlink r:id="rId34">
        <w:r>
          <w:rPr>
            <w:color w:val="0000FF"/>
          </w:rPr>
          <w:t>пунктом 2</w:t>
        </w:r>
      </w:hyperlink>
      <w:r>
        <w:t xml:space="preserve"> приказа Минэнерго России N 27 данный акт действует до 1 сентября 2027 г.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20. В случае если энергопринимающие установки потребителя подключены под действие устройств противоаварийной автоматики, потребитель совместно с сетевой организацией должен осуществлять выборочные проверки эксплуатационного состояния устройств противоаварийной автоматики, действующей на отключение нагрузки, установленных на объектах электросетевого хозяйства или энергопринимающих установках потребителя, в том числе объемов нагрузки (присоединений и фидеров), подключенных под действие указанной автоматики. Периодичность проведения таких проверок и состав энергопринимающих устройств, в отношении которых они проводятся, определяются потребителем с учетом предложений сетевой организации.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Потребитель должен поддерживать в надлежащем техническом состоянии указанные устройства противоаварийной автоматики, обеспечивать их настройку и готовность к работе, а также выполнять мероприятия по устранению выявленных недостатков в работе устройств противоаварийной автоматики, определенные по результатам указанных проверок в установленные им по согласованию с сетевой организацией сроки.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21. При получении от сетевой организации требования о проведении контрольных, внеочередных или иных замеров в соответствии с </w:t>
      </w:r>
      <w:hyperlink r:id="rId35">
        <w:r>
          <w:rPr>
            <w:color w:val="0000FF"/>
          </w:rPr>
          <w:t>пунктом 135</w:t>
        </w:r>
      </w:hyperlink>
      <w: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г. N 442 &lt;21&gt;, потребитель должен обеспечить проведение этих замеров на принадлежащих ему объектах электроэнергетики и энергопринимающих установках.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&lt;21&gt; Собрание законодательства Российской Федерации, 2012, N 23, ст. 3008; 2022, N 27, ст. 4863.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 xml:space="preserve">22. В случае если режимы работы электроустановок, в том числе пусковые режимы двигательной нагрузки, приводят к нарушению требований к качеству электрической энергии, установленных в соответствии с </w:t>
      </w:r>
      <w:hyperlink r:id="rId36">
        <w:r>
          <w:rPr>
            <w:color w:val="0000FF"/>
          </w:rPr>
          <w:t>Правилами</w:t>
        </w:r>
      </w:hyperlink>
      <w:r>
        <w:t xml:space="preserve"> технологического функционирования электроэнергетических систем, техническими условиями на технологическое присоединение </w:t>
      </w:r>
      <w:r>
        <w:lastRenderedPageBreak/>
        <w:t>электроустановок к электрической сети или договором оказания услуг по передаче электрической энергии (договором энергоснабжения), заключенным потребителем с сетевой организацией (гарантирующим поставщиком, энергосбытовой, энергоснабжающей организацией) (далее - требования к качеству электрической энергии), или приводят к провалам напряжения глубиной более 10% от номинального напряжения и длительностью более 0,5 секунды в точках присоединения электроустановок к электрической сети сетевой организации, потребитель должен разработать и реализовать компенсирующие мероприятия, направленные на исключение негативного влияния своих электроустановок на качество электрической энергии в электрической сети.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Работа электроустановок с нелинейной, несимметричной и резкопеременной нагрузкой (в том числе дуговых электропечей, выпрямительных и сварочных установок), приводящих к нарушению требований к качеству электрической энергии в точках присоединения электроустановок к электрической сети сетевой организации, без компенсирующих устройств не допускается.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23. Потребитель должен обеспечить проведение технического обслуживания и ремонтов оборудования и устройств электроустановок.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Техническое обслуживание, планирование, подготовка, производство ремонта и приемка из ремонта электроустановок, которые являются оборудованием объектов по производству электрической энергии, или объектов электросетевого хозяйства должны осуществляться в соответствии с требованиями к обеспечению надежности электроэнергетических систем, надежности и безопасности объектов электроэнергетики и энергопринимающих установок "</w:t>
      </w:r>
      <w:hyperlink r:id="rId37">
        <w:r>
          <w:rPr>
            <w:color w:val="0000FF"/>
          </w:rPr>
          <w:t>Правил</w:t>
        </w:r>
      </w:hyperlink>
      <w:r>
        <w:t xml:space="preserve"> организации технического обслуживания и ремонта объектов электроэнергетики", утвержденными приказом Минэнерго России от 25 октября 2017 г. N 1013 &lt;22&gt; (далее - Правила организации технического обслуживания и ремонта объектов электроэнергетики).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&lt;22&gt; Зарегистрирован Минюстом России 26 марта 2018 г., регистрационный N 50503, с изменениями, внесенными приказом Минэнерго России от 13 июля 2020 г. N 555 (зарегистрирован Минюстом России 23 октября 2020 г., регистрационный N 60538).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 xml:space="preserve">Техническое обслуживание устройств релейной защиты и автоматики должно осуществляться в соответствии с </w:t>
      </w:r>
      <w:hyperlink r:id="rId38">
        <w:r>
          <w:rPr>
            <w:color w:val="0000FF"/>
          </w:rPr>
          <w:t>Правилами</w:t>
        </w:r>
      </w:hyperlink>
      <w:r>
        <w:t xml:space="preserve"> технического обслуживания устройств и комплексов релейной защиты и автоматики, утвержденными приказом Минэнерго России от 13 июля 2020 г. N 555 &lt;23&gt;.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&lt;23&gt; Зарегистрирован Минюстом России 23 октября 2020 г., регистрационный N 60538.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Объем технического обслуживания и планово-предупредительных ремонтов электроустановок должен определяться необходимостью поддержания исправности и обеспечения безопасной работы электроустановок, периодического их восстановления и приведения в соответствие с условиями работы.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На все виды ремонтов основного оборудования электроустановок, на которое не распространяется действие </w:t>
      </w:r>
      <w:hyperlink r:id="rId39">
        <w:r>
          <w:rPr>
            <w:color w:val="0000FF"/>
          </w:rPr>
          <w:t>Правил</w:t>
        </w:r>
      </w:hyperlink>
      <w:r>
        <w:t xml:space="preserve"> организации технического обслуживания и ремонта объектов электроэнергетики, должны быть составлены и утверждены уполномоченным должностным лицом потребителя (его филиала) годовые планы (графики) ремонта.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Ремонт электрооборудования и аппаратов, непосредственно связанных с технологическими агрегатами, должен выполняться одновременно с ремонтом таких агрегатов.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Периодичность и продолжительность ремонтов, а также продолжительность ежегодного </w:t>
      </w:r>
      <w:r>
        <w:lastRenderedPageBreak/>
        <w:t xml:space="preserve">простоя в ремонте для отдельных видов оборудования должны определяться потребителем в соответствии с </w:t>
      </w:r>
      <w:hyperlink w:anchor="P433">
        <w:r>
          <w:rPr>
            <w:color w:val="0000FF"/>
          </w:rPr>
          <w:t>пунктами 104</w:t>
        </w:r>
      </w:hyperlink>
      <w:r>
        <w:t xml:space="preserve">, </w:t>
      </w:r>
      <w:hyperlink w:anchor="P448">
        <w:r>
          <w:rPr>
            <w:color w:val="0000FF"/>
          </w:rPr>
          <w:t>113</w:t>
        </w:r>
      </w:hyperlink>
      <w:r>
        <w:t xml:space="preserve"> Правил и требованиями документации организаций-изготовителей на такое оборудование.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24. При организации и осуществлении эксплуатации электрооборудования и электроустановок общего назначения потребителей (силовые трансформаторы и масляные шунтирующие реакторы, распределительные устройства, воздушные ЛЭП, кабельные линии, электродвигатели, релейная защита и автоматика, телемеханика и вторичные цепи, заземляющие устройства, защита от перенапряжений, конденсаторные установки, аккумуляторные установки, электрическое освещение) потребители должны выполнять требования в объеме, предусмотренном для указанных видов оборудования и устройств в </w:t>
      </w:r>
      <w:hyperlink r:id="rId40">
        <w:r>
          <w:rPr>
            <w:color w:val="0000FF"/>
          </w:rPr>
          <w:t>Правилах</w:t>
        </w:r>
      </w:hyperlink>
      <w:r>
        <w:t xml:space="preserve"> технической эксплуатации электрических станций и сетей.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25. Потребитель должен организовать и проводить техническое освидетельствование электроустановок и входящего в их состав оборудования в соответствии с </w:t>
      </w:r>
      <w:hyperlink r:id="rId41">
        <w:r>
          <w:rPr>
            <w:color w:val="0000FF"/>
          </w:rPr>
          <w:t>Правилами</w:t>
        </w:r>
      </w:hyperlink>
      <w:r>
        <w:t xml:space="preserve"> проведения технического освидетельствования оборудования, зданий и сооружений объектов электроэнергетики, утвержденными приказом Минэнерго России от 14 мая 2019 г. N 465 &lt;24&gt;.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&lt;24&gt; Зарегистрирован Минюстом России 16 июля 2019 г., регистрационный N 55283.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bookmarkStart w:id="11" w:name="P194"/>
      <w:bookmarkEnd w:id="11"/>
      <w:r>
        <w:t>26. При вводе в работу (первичном включении в сеть) нового основного оборудования и ЛЭП (на вводимых в эксплуатацию вновь построенных, реконструированных (модернизированных, технически перевооружаемых электроустановках), а также нового оборудования на действующих электроустановках, в том числе после его замены, потребителем должны быть выполнены следующие мероприятия: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приемо-сдаточные испытания оборудования и пусконаладочные испытания отдельных систем электроустановок;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комплексное опробование ЛЭП и основного оборудования;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иные мероприятия по вводу ЛЭП и оборудования в работу в составе энергосистемы, предусмотренные </w:t>
      </w:r>
      <w:hyperlink r:id="rId42">
        <w:r>
          <w:rPr>
            <w:color w:val="0000FF"/>
          </w:rPr>
          <w:t>пунктами 192</w:t>
        </w:r>
      </w:hyperlink>
      <w:r>
        <w:t xml:space="preserve"> - </w:t>
      </w:r>
      <w:hyperlink r:id="rId43">
        <w:r>
          <w:rPr>
            <w:color w:val="0000FF"/>
          </w:rPr>
          <w:t>195</w:t>
        </w:r>
      </w:hyperlink>
      <w:r>
        <w:t xml:space="preserve"> Правил технологического функционирования электроэнергетических систем и правилами ввода объектов электроэнергетики, их оборудования и устройств в работу в составе энергосистемы, утверждаемыми Минэнерго России в соответствии с </w:t>
      </w:r>
      <w:hyperlink r:id="rId44">
        <w:r>
          <w:rPr>
            <w:color w:val="0000FF"/>
          </w:rPr>
          <w:t>подпунктом "г" пункта 2</w:t>
        </w:r>
      </w:hyperlink>
      <w:r>
        <w:t xml:space="preserve"> постановления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&lt;25&gt;.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2018, N 34, ст. 5483.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Приемо-сдаточные испытания оборудования и пусконаладочные испытания отдельных систем должны проводиться по проектным схемам после окончания на этом оборудовании монтажных и строительных работ.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Для проведения пусконаладочных работ и опробования электрооборудования допускается включение электроустановок по проектной схеме на основании временного разрешения, выданного органом федерального государственного энергетического надзора.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При комплексном опробовании оборудования должна быть: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проверена работоспособность оборудования и технологических схем, безопасность их </w:t>
      </w:r>
      <w:r>
        <w:lastRenderedPageBreak/>
        <w:t>эксплуатации;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проведена проверка и настройка всех систем контроля и управления, устройств защиты и блокировок, устройств сигнализации и контрольно-измерительных приборов.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Комплексное опробование считается успешно проведенным при условии нормальной и непрерывной работы основного и вспомогательного оборудования в течение 72 часов, а ЛЭП - в течение 24 часов.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Дефекты, допущенные в ходе строительства и монтажа, а также дефекты оборудования, выявленные в процессе приемо-сдаточных и пусконаладочных испытаний, комплексного опробования электроустановок, должны быть устранены.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Перед опробованием и приемкой должны быть подготовлены условия для надежной и безопасной эксплуатации принадлежащего потребителю объекта: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укомплектован, обучен (с проверкой знаний) электротехнический и электротехнологический персонал;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разработана и утверждена эксплуатационная документация;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подготовлены и испытаны защитные средства, инструмент, запасные части и материалы;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введены в действие средства связи, сигнализации и пожаротушения, аварийного освещения и вентиляции.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Title"/>
        <w:jc w:val="center"/>
        <w:outlineLvl w:val="1"/>
      </w:pPr>
      <w:bookmarkStart w:id="12" w:name="P215"/>
      <w:bookmarkEnd w:id="12"/>
      <w:r>
        <w:t>III. Техническая документация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bookmarkStart w:id="13" w:name="P217"/>
      <w:bookmarkEnd w:id="13"/>
      <w:r>
        <w:t>27. У потребителя в отношении эксплуатируемых им электроустановок должна быть в наличии следующая техническая документация: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а) утвержденная в соответствии с градостроительным законодательством Российской Федерации проектная и рабочая документация на строительство (реконструкцию) электроустановок со всеми последующими изменениями;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б) акты комплексного опробования ЛЭП и оборудования и документы о приемке их в эксплуатацию;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в) документы о технологическом присоединении, предусмотренные </w:t>
      </w:r>
      <w:hyperlink r:id="rId45">
        <w:r>
          <w:rPr>
            <w:color w:val="0000FF"/>
          </w:rPr>
          <w:t>Правилами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N 861 &lt;26&gt;;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2004, N 52, ст. 5525; 2022, N 27, ст. 4863.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г) схемы электрических соединений и технологических систем, в том числе нормальные (временные нормальные) схемы электрических соединений электроустановок потребителя;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д) общие схемы электроснабжения для нормального режима, составленные по электрохозяйству потребителя в целом и по отдельным структурным подразделениям (филиалам);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lastRenderedPageBreak/>
        <w:t>е) журналы учета электрооборудования с перечислением основного электрооборудования и с указанием его технических данных, а также присвоенных ему инвентарных номеров;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ж) технические паспорта ЛЭП, основного энергетического и электротехнического оборудования, зданий и сооружений;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з) документы, устанавливающие разделение прав, обязанностей и ответственности структурных подразделений (с учетом требований </w:t>
      </w:r>
      <w:hyperlink w:anchor="P94">
        <w:r>
          <w:rPr>
            <w:color w:val="0000FF"/>
          </w:rPr>
          <w:t>пункта 8</w:t>
        </w:r>
      </w:hyperlink>
      <w:r>
        <w:t xml:space="preserve"> Правил) и персонала потребителя по эксплуатации, в том числе обслуживанию и контролю, электроустановок;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и) перечень ЛЭП, оборудования и устройств электроустановок с их распределением по способу технологического управления и ведения;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к) списки работников, указанные в </w:t>
      </w:r>
      <w:hyperlink w:anchor="P120">
        <w:r>
          <w:rPr>
            <w:color w:val="0000FF"/>
          </w:rPr>
          <w:t>пункте 12</w:t>
        </w:r>
      </w:hyperlink>
      <w:r>
        <w:t xml:space="preserve"> Правил;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л) производственные инструкции по эксплуатации электроустановок и иные инструкции, разрабатываемые и утверждаемые потребителем в соответствии с </w:t>
      </w:r>
      <w:hyperlink w:anchor="P250">
        <w:r>
          <w:rPr>
            <w:color w:val="0000FF"/>
          </w:rPr>
          <w:t>пунктом 33</w:t>
        </w:r>
      </w:hyperlink>
      <w:r>
        <w:t xml:space="preserve">, </w:t>
      </w:r>
      <w:hyperlink w:anchor="P314">
        <w:r>
          <w:rPr>
            <w:color w:val="0000FF"/>
          </w:rPr>
          <w:t>главами V</w:t>
        </w:r>
      </w:hyperlink>
      <w:r>
        <w:t xml:space="preserve"> - </w:t>
      </w:r>
      <w:hyperlink w:anchor="P436">
        <w:r>
          <w:rPr>
            <w:color w:val="0000FF"/>
          </w:rPr>
          <w:t>XII</w:t>
        </w:r>
      </w:hyperlink>
      <w:r>
        <w:t xml:space="preserve"> Правил, а также </w:t>
      </w:r>
      <w:hyperlink r:id="rId46">
        <w:r>
          <w:rPr>
            <w:color w:val="0000FF"/>
          </w:rPr>
          <w:t>Правилами</w:t>
        </w:r>
      </w:hyperlink>
      <w:r>
        <w:t xml:space="preserve"> технической эксплуатации электрических станций и сетей, </w:t>
      </w:r>
      <w:hyperlink r:id="rId47">
        <w:r>
          <w:rPr>
            <w:color w:val="0000FF"/>
          </w:rPr>
          <w:t>Правилами</w:t>
        </w:r>
      </w:hyperlink>
      <w:r>
        <w:t xml:space="preserve"> переключений в электроустановках и </w:t>
      </w:r>
      <w:hyperlink r:id="rId48">
        <w:r>
          <w:rPr>
            <w:color w:val="0000FF"/>
          </w:rPr>
          <w:t>Правилами</w:t>
        </w:r>
      </w:hyperlink>
      <w:r>
        <w:t xml:space="preserve"> предотвращения развития и ликвидации нарушений нормального режима (далее - производственные инструкции);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м) должностные инструкции персонала;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н) инструкции по охране труда, разрабатываемые и утверждаемые потребителем в соответствии с законодательством Российской Федерации об охране труда;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о) документация по релейной защите и автоматике и документация по автоматизированным системам управления (при наличии у потребителя таких систем) в соответствии с требованиями нормативных правовых актов, устанавливающих требования надежности и безопасности в сфере электроэнергетики;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п) иная техническая, в том числе оперативная, документация, указанная в </w:t>
      </w:r>
      <w:hyperlink w:anchor="P250">
        <w:r>
          <w:rPr>
            <w:color w:val="0000FF"/>
          </w:rPr>
          <w:t>пунктах 33</w:t>
        </w:r>
      </w:hyperlink>
      <w:r>
        <w:t xml:space="preserve"> - </w:t>
      </w:r>
      <w:hyperlink w:anchor="P273">
        <w:r>
          <w:rPr>
            <w:color w:val="0000FF"/>
          </w:rPr>
          <w:t>36</w:t>
        </w:r>
      </w:hyperlink>
      <w:r>
        <w:t xml:space="preserve"> Правил.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28. Ведение и хранение документации, указанной в </w:t>
      </w:r>
      <w:hyperlink w:anchor="P217">
        <w:r>
          <w:rPr>
            <w:color w:val="0000FF"/>
          </w:rPr>
          <w:t>пункте 27</w:t>
        </w:r>
      </w:hyperlink>
      <w:r>
        <w:t xml:space="preserve"> Правил, должно осуществляться потребителем в соответствии с требованиями к ведению и хранению документации, установленными </w:t>
      </w:r>
      <w:hyperlink r:id="rId49">
        <w:r>
          <w:rPr>
            <w:color w:val="0000FF"/>
          </w:rPr>
          <w:t>Правилами</w:t>
        </w:r>
      </w:hyperlink>
      <w:r>
        <w:t xml:space="preserve"> технологического функционирования электроэнергетических систем.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14" w:name="P237"/>
      <w:bookmarkEnd w:id="14"/>
      <w:r>
        <w:t xml:space="preserve">29. Для структурных подразделений потребителя - юридического лица (работников потребителя - индивидуального предпринимателя или физического лица) с учетом выполняемых ими функций по эксплуатации электроустановок должны быть составлены перечни технической документации, утвержденные руководителем или иным уполномоченным лицом потребителя - юридического лица или его филиала (потребителем - индивидуальным предпринимателем или физическим лицом) (далее - перечни технической документации). В перечнях технической документации должны быть учтены документы, указанные в </w:t>
      </w:r>
      <w:hyperlink w:anchor="P217">
        <w:r>
          <w:rPr>
            <w:color w:val="0000FF"/>
          </w:rPr>
          <w:t>пункте 27</w:t>
        </w:r>
      </w:hyperlink>
      <w:r>
        <w:t xml:space="preserve"> Правил.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В соответствии с перечнями технической документации должно быть обеспечено наличие указанных в них документов и организован доступ персонала потребителя к их использованию.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Перечни технической документации должны пересматриваться при изменении состава технической документации, но не реже одного раза в 3 года.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Потребителем должно быть обеспечено нахождение: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у ответственного за электрохозяйство - полного комплекта схем и производственных инструкций;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lastRenderedPageBreak/>
        <w:t>на рабочем месте персонала - комплекта схем и производственных инструкций в объеме, необходимом для выполнения персоналом своих трудовых функций.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15" w:name="P243"/>
      <w:bookmarkEnd w:id="15"/>
      <w:r>
        <w:t>30. Все изменения в электроустановках, выполненные в процессе эксплуатации, должны вноситься в производственные инструкции и отражаться на электрических (технологических, исполнительных) схемах и чертежах за подписью ответственного за электрохозяйство с указанием его должности и даты внесения изменения.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Информация об изменениях в производственных инструкциях, схемах и чертежах должна под подпись доводиться до сведения всех работников, для которых обязательно знание этих документов, с записью в журнале регистрации инструктажа на рабочем месте или журнале распоряжений (если изменения внесены в схемы вторичных соединений - с записью в журнале релейной защиты и автоматики). Внесение изменений и доведение их до работников должны выполняться до ввода ЛЭП, оборудования, устройств в работу.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Обозначения и номера на схемах и чертежах должны соответствовать обозначениям и номерам, выполненным непосредственно на ЛЭП, оборудовании, устройствах.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16" w:name="P246"/>
      <w:bookmarkEnd w:id="16"/>
      <w:r>
        <w:t>31. Соответствие электрических (технологических) схем (чертежей) фактическим эксплуатационным должно проверяться ответственным за электрохозяйство не реже одного раза в 3 года с отметкой на них о дате проверки, удостоверенной его подписью. При несоответствии электрических (технологических) схем (чертежей) фактическим эксплуатационным ответственным за электрохозяйство должен быть обеспечен пересмотр (актуализация) указанных схем (чертежей).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32. Комплект однолинейных схем электроснабжения должен находиться у ответственного за электрохозяйство на его рабочем месте и на рабочем месте оперативного персонала.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Оперативные схемы электроустановок, находящихся в соответствии с установленным потребителем распределением функций, прав и обязанностей в эксплуатационном обслуживании определенного структурного подразделения потребителя, должны храниться на рабочем месте оперативного персонала такого структурного подразделения.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В помещениях, в которых размещается основное оборудование электроустановки, должны быть вывешены на видном месте нормальные схемы электрических соединений такой электроустановки.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17" w:name="P250"/>
      <w:bookmarkEnd w:id="17"/>
      <w:r>
        <w:t>33. Для организации и осуществления эксплуатации электроустановок потребителем должны быть разработаны и утверждены производственные инструкции по эксплуатации электроустановок, организации и осуществлению оперативно-технологического управления, в том числе по вопросам производства переключений в электроустановках, ведения оперативных переговоров, предотвращения развития и ликвидации нарушений нормального режима в электроустановках.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В случае изменения состава ЛЭП, оборудования и устройств, изменения режимов и условий эксплуатации электрооборудования в производственные инструкции должны быть внесены изменения и дополнения, о чем сообщается под подпись работникам, для которых обязательно знание таких инструкций.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50">
        <w:r>
          <w:rPr>
            <w:color w:val="0000FF"/>
          </w:rPr>
          <w:t>абзаце первом</w:t>
        </w:r>
      </w:hyperlink>
      <w:r>
        <w:t xml:space="preserve"> настоящего пункта Правил производственные инструкции должны пересматриваться не реже одного раза в 3 года.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34. Для оперативного, оперативно-ремонтного персонала потребителем (филиалом потребителя) должен быть разработан и утвержден перечень документов на рабочих местах оперативного, оперативно-ремонтного персонала.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В перечень документов на рабочих местах оперативного, оперативно-ремонтного персонала </w:t>
      </w:r>
      <w:r>
        <w:lastRenderedPageBreak/>
        <w:t>должны быть включены: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а) оперативная схема электрических соединений (далее - оперативная схема), по решению потребителя - также схема-макет. Для потребителей, имеющих в схеме электроснабжения только ЛЭП (участок ЛЭП) или распределительные устройства напряжением выше 1000 В с одиночной секционированной или несекционированной системой шин, не имеющей обходной системы шин, допускается наличие однолинейной схемы первичных электрических соединений, на которой не отмечается фактическое положение коммутационных аппаратов;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б) оперативный журнал;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в) журнал распоряжений;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г) журнал учета работ по нарядам и распоряжениям;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д) журнал выдачи и возврата ключей от электроустановок;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е) журнал релейной защиты и автоматики;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ж) журнал телемеханики;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з) журнал или картотека дефектов и неполадок на электрооборудовании;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и) диспетчерские и оперативные заявки (журнал (картотека) диспетчерских и оперативных заявок) на изменение технологического режима работы или эксплуатационного состояния ЛЭП оборудования и устройств;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к) ведомости (журналы) показаний контрольно-измерительных приборов (не требуется при наличии у потребителя автоматизированной информационно-измерительной системы коммерческого учета электрической энергии);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л) журнал учета электрооборудования;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м) нормальная схема электрических соединений электроустановки;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н) бланки (типовые бланки) переключений в электроустановках и иная документация, указанная в </w:t>
      </w:r>
      <w:hyperlink r:id="rId50">
        <w:r>
          <w:rPr>
            <w:color w:val="0000FF"/>
          </w:rPr>
          <w:t>Правилах</w:t>
        </w:r>
      </w:hyperlink>
      <w:r>
        <w:t xml:space="preserve"> переключений в электроустановках;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о) перечни ЛЭП, оборудования и устройств электроустановок с их распределением по способу технологического управления и ведения;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п) однолинейная схема первичных электрических соединений электроустановки;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р) списки работников, указанных в </w:t>
      </w:r>
      <w:hyperlink w:anchor="P120">
        <w:r>
          <w:rPr>
            <w:color w:val="0000FF"/>
          </w:rPr>
          <w:t>пункте 12</w:t>
        </w:r>
      </w:hyperlink>
      <w:r>
        <w:t xml:space="preserve"> Правил;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с) списки работников сетевой (энергоснабжающей) организации и организаций, имеющих право вести оперативные переговоры и выполнять переключения в электроустановках.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35. В зависимости от условий (организационной структуры и формы оперативного обслуживания, состава оперативного персонала и электроустановок, находящихся в его технологическом управлении или ведении) состав оперативной документации может быть дополнен по решению руководителя потребителя, иного уполномоченного им лица или ответственного за электрохозяйство.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18" w:name="P273"/>
      <w:bookmarkEnd w:id="18"/>
      <w:r>
        <w:t xml:space="preserve">36. В соответствии с утвержденным перечнем документов на рабочих местах оперативного, оперативно-ремонтного персонала потребителем должно быть обеспечено наличие указанных в нем документов на рабочих местах указанного персонала в бумажном и (или) электронном виде и </w:t>
      </w:r>
      <w:r>
        <w:lastRenderedPageBreak/>
        <w:t>организован доступ такого персонала к их использованию.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В зависимости от условий эксплуатации электроустановок потребителя ведение оперативных схем должно осуществляться потребителем в электронном виде, на бумажном носителе или с помощью схем-макетов.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37. Потребителем должны быть составлены и утверждены руководителем или иным уполномоченным лицом потребителя - юридического лица или его филиала (потребителем - индивидуальным предпринимателем или физическим лицом) графики осмотров и обходов оборудования, зданий и сооружений электроустановок потребителя (далее - графики осмотров и обходов). Административно-технический персонал потребителя в соответствии с графиками осмотров и обходов должен осуществлять обходы и осмотры оборудования, зданий и сооружений, проверять наличие и содержание эксплуатационной документации на рабочих местах оперативного, оперативно-ремонтного персонала и обеспечивать принятие мер по устранению выявленных нарушений.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Title"/>
        <w:jc w:val="center"/>
        <w:outlineLvl w:val="1"/>
      </w:pPr>
      <w:bookmarkStart w:id="19" w:name="P277"/>
      <w:bookmarkEnd w:id="19"/>
      <w:r>
        <w:t>IV. Требования к персоналу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bookmarkStart w:id="20" w:name="P279"/>
      <w:bookmarkEnd w:id="20"/>
      <w:r>
        <w:t>38. Эксплуатацию электроустановок должен осуществлять электротехнический и электротехнологический персонал, который подразделяется на следующие категории: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административно-технический персонал;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оперативный персонал;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оперативно-ремонтный персонал;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ремонтный персонал;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вспомогательный персонал.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Далее по тексту Правил под электротехническим персоналом понимается также электротехнологический персонал, если Правилами не установлено применение определенных требований только в отношении одной из указанных в </w:t>
      </w:r>
      <w:hyperlink w:anchor="P279">
        <w:r>
          <w:rPr>
            <w:color w:val="0000FF"/>
          </w:rPr>
          <w:t>абзаце первом</w:t>
        </w:r>
      </w:hyperlink>
      <w:r>
        <w:t xml:space="preserve"> настоящего пункта Правил категорий персонала.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39. При эксплуатации электроустановок потребители должны обеспечить подготовку своих работников, относящихся к категориям персонала, указанным в </w:t>
      </w:r>
      <w:hyperlink w:anchor="P279">
        <w:r>
          <w:rPr>
            <w:color w:val="0000FF"/>
          </w:rPr>
          <w:t>пункте 38</w:t>
        </w:r>
      </w:hyperlink>
      <w:r>
        <w:t xml:space="preserve"> Правил, к работе в электроустановках, включая проведение с ними обязательных форм работы с персоналом, в соответствии с:</w:t>
      </w:r>
    </w:p>
    <w:p w:rsidR="00BA279B" w:rsidRDefault="00BA279B">
      <w:pPr>
        <w:pStyle w:val="ConsPlusNormal"/>
        <w:spacing w:before="220"/>
        <w:ind w:firstLine="540"/>
        <w:jc w:val="both"/>
      </w:pPr>
      <w:hyperlink r:id="rId51">
        <w:r>
          <w:rPr>
            <w:color w:val="0000FF"/>
          </w:rPr>
          <w:t>Правилами</w:t>
        </w:r>
      </w:hyperlink>
      <w:r>
        <w:t xml:space="preserve"> работы с персоналом в организациях электроэнергетики Российской Федерации, утвержденными приказом Минэнерго России от 22 сентября 2020 г. N 796 &lt;27&gt; (далее - Правила работы с персоналом и приказ Минэнерго России N 796 соответственно), - в отношении персонала потребителя, эксплуатирующего объекты по производству электрической энергии и (или) объектов электросетевого хозяйства, присоединенные к электроэнергетической системе (за исключением принадлежащих потребителям объектов электросетевого хозяйства классом напряжения 0,4 кВ и ниже, присоединенных к электрическим сетям на уровне напряжения 0,4 кВ);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27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79B" w:rsidRDefault="00BA27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79B" w:rsidRDefault="00BA27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279B" w:rsidRDefault="00BA27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A279B" w:rsidRDefault="00BA279B">
            <w:pPr>
              <w:pStyle w:val="ConsPlusNormal"/>
              <w:jc w:val="both"/>
            </w:pPr>
            <w:hyperlink r:id="rId52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Минэнерго России от 30.11.2022 N 1271 п. 4 признан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79B" w:rsidRDefault="00BA279B">
            <w:pPr>
              <w:pStyle w:val="ConsPlusNormal"/>
            </w:pPr>
          </w:p>
        </w:tc>
      </w:tr>
    </w:tbl>
    <w:p w:rsidR="00BA279B" w:rsidRDefault="00BA279B">
      <w:pPr>
        <w:pStyle w:val="ConsPlusNormal"/>
        <w:spacing w:before="280"/>
        <w:ind w:firstLine="540"/>
        <w:jc w:val="both"/>
      </w:pPr>
      <w:r>
        <w:t xml:space="preserve">&lt;27&gt; Зарегистрирован Минюстом России 18 января 2021 г., регистрационный N 62115. В </w:t>
      </w:r>
      <w:r>
        <w:lastRenderedPageBreak/>
        <w:t xml:space="preserve">соответствии с </w:t>
      </w:r>
      <w:hyperlink r:id="rId53">
        <w:r>
          <w:rPr>
            <w:color w:val="0000FF"/>
          </w:rPr>
          <w:t>пунктом 4</w:t>
        </w:r>
      </w:hyperlink>
      <w:r>
        <w:t xml:space="preserve"> приказа Минэнерго России N 796 данный акт действует до 1 марта 2027 г.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hyperlink r:id="rId54">
        <w:r>
          <w:rPr>
            <w:color w:val="0000FF"/>
          </w:rPr>
          <w:t>Правилами</w:t>
        </w:r>
      </w:hyperlink>
      <w:r>
        <w:t xml:space="preserve"> работы с персоналом с учетом особенностей, установленных </w:t>
      </w:r>
      <w:hyperlink w:anchor="P294">
        <w:r>
          <w:rPr>
            <w:color w:val="0000FF"/>
          </w:rPr>
          <w:t>пунктами 40</w:t>
        </w:r>
      </w:hyperlink>
      <w:r>
        <w:t xml:space="preserve"> - </w:t>
      </w:r>
      <w:hyperlink w:anchor="P311">
        <w:r>
          <w:rPr>
            <w:color w:val="0000FF"/>
          </w:rPr>
          <w:t>45</w:t>
        </w:r>
      </w:hyperlink>
      <w:r>
        <w:t xml:space="preserve"> Правил, - в отношении персонала потребителя, эксплуатирующего объекты электросетевого хозяйства классом напряжения 0,4 кВ и ниже, присоединенные к электрическим сетям на уровне напряжения 0,4 кВ, и (или) энергопринимающие установки.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21" w:name="P294"/>
      <w:bookmarkEnd w:id="21"/>
      <w:r>
        <w:t xml:space="preserve">40. Работники, относящиеся к электротехническому и электротехнологическому персоналу, а также специалисты по охране труда, контролирующие электроустановки, и работники, относящиеся к неэлектротехническому персоналу и выполняющие работы, при которых может возникнуть опасность поражения электрическим током, должны иметь группу по электробезопасности, определенную в соответствии с </w:t>
      </w:r>
      <w:hyperlink r:id="rId55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 и </w:t>
      </w:r>
      <w:hyperlink w:anchor="P115">
        <w:r>
          <w:rPr>
            <w:color w:val="0000FF"/>
          </w:rPr>
          <w:t>пунктом 10</w:t>
        </w:r>
      </w:hyperlink>
      <w:r>
        <w:t xml:space="preserve"> Правил.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Руководители структурных подразделений потребителя (при наличии таких структурных подразделений), в подчинении которых находится электротехнологический персонал, должны иметь группу по электробезопасности не ниже, чем у подчиненного персонала.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Присвоение и подтверждение группы по электробезопасности должны осуществляться в соответствии с </w:t>
      </w:r>
      <w:hyperlink r:id="rId56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 и </w:t>
      </w:r>
      <w:hyperlink r:id="rId57">
        <w:r>
          <w:rPr>
            <w:color w:val="0000FF"/>
          </w:rPr>
          <w:t>Правилами</w:t>
        </w:r>
      </w:hyperlink>
      <w:r>
        <w:t xml:space="preserve"> работы с персоналом. Для организаций (обособленных структурных подразделений), эксплуатирующих электроустановки напряжением до 1000 В, для присвоения (подтверждения) IV группы один из членов комиссии при проверке знаний должен иметь IV группу по электробезопасности.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22" w:name="P297"/>
      <w:bookmarkEnd w:id="22"/>
      <w:r>
        <w:t>41. Права и обязанности руководителя потребителя - юридического лица по вопросам организации и проведения работы с персоналом могут быть переданы им в полном объеме или частично одному или нескольким иным должностным лицам потребителя (его филиала, представительства) из числа административно-технического персонала.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Обязанности должностных лиц потребителя по проведению работы с персоналом должны быть установлены организационно-распорядительным документом потребителя и указаны в должностных инструкциях и положениях о подразделениях (службах).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42. Работники, принимаемые для выполнения работ в электроустановках, должны иметь профессиональную подготовку и квалификацию, соответствующую характеру работы и выполняемым должностным обязанностям (трудовым функциям).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43. В отношении персонала потребителя должна проводиться первичная и периодическая (очередная и внеочередная) проверка знаний.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Первичная проверка знаний проводится у работников, впервые поступивших на работу, связанную с обслуживанием электроустановок, или при перерыве в работе более 3 лет.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Очередная проверка знаний должна проводиться в следующие сроки: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для электротехнического персонала, непосредственно организующего и проводящего работы по обслуживанию действующих электроустановок или выполняющего в них наладочные, электромонтажные, ремонтные работы или профилактические испытания, а также для персонала, имеющего право выдачи нарядов, распоряжений, ведения оперативных переговоров, - не реже одного раза в 12 месяцев;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для административно-технического персонала, не относящегося к предыдущей группе, а также для специалистов по охране труда, допущенных к инспектированию электроустановок, - не реже одного раза в 3 года.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lastRenderedPageBreak/>
        <w:t>Время следующей проверки знаний должно устанавливаться исходя из даты последней проверки знаний.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Внеочередная проверка знаний должна проводиться независимо от срока проведения предыдущей проверки знаний при наличии оснований, предусмотренных </w:t>
      </w:r>
      <w:hyperlink r:id="rId58">
        <w:r>
          <w:rPr>
            <w:color w:val="0000FF"/>
          </w:rPr>
          <w:t>пунктом 47</w:t>
        </w:r>
      </w:hyperlink>
      <w:r>
        <w:t xml:space="preserve"> Правил работы с персоналом.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44. По решению руководителя или иного должностного лица потребителя, уполномоченного в соответствии с </w:t>
      </w:r>
      <w:hyperlink w:anchor="P297">
        <w:r>
          <w:rPr>
            <w:color w:val="0000FF"/>
          </w:rPr>
          <w:t>пунктом 41</w:t>
        </w:r>
      </w:hyperlink>
      <w:r>
        <w:t xml:space="preserve"> Правил, проверку знаний у специалиста, принятого на работу по совместительству в целях возложения на него обязанностей ответственного за электрохозяйство, допускается не проводить при одновременном выполнении следующих условий: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с даты проверки знаний работника по месту основной работы, связанной с эксплуатацией электроустановок, прошло не более 6 месяцев;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энергоемкость электроустановок и их сложность у потребителя, у которого работник трудится по совместительству, не выше, чем по месту основной работы такого работника;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у потребителя отсутствуют электроустановки напряжением выше 1000 В.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23" w:name="P311"/>
      <w:bookmarkEnd w:id="23"/>
      <w:r>
        <w:t xml:space="preserve">45. Проверка знаний работников потребителя - юридического лица, численность работников которого не позволяет образовать комиссию по проверке знаний в соответствии с </w:t>
      </w:r>
      <w:hyperlink r:id="rId59">
        <w:r>
          <w:rPr>
            <w:color w:val="0000FF"/>
          </w:rPr>
          <w:t>Правилами</w:t>
        </w:r>
      </w:hyperlink>
      <w:r>
        <w:t xml:space="preserve"> работы с персоналом, должна проводиться в комиссиях, формируемых федеральным органом исполнительной власти, уполномоченным на осуществление федерального государственного энергетического надзора, или его территориальными органами.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46. В случаях и порядке, установленных Правилами проведения противоаварийных тренировок, потребителем должны проводиться противоаварийные тренировки для его оперативного (оперативно-ремонтного) персонала, а также должно быть обеспечено участие персонала потребителя в противоаварийных тренировках, проводимых другими организациями.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Title"/>
        <w:jc w:val="center"/>
        <w:outlineLvl w:val="1"/>
      </w:pPr>
      <w:bookmarkStart w:id="24" w:name="P314"/>
      <w:bookmarkEnd w:id="24"/>
      <w:r>
        <w:t>V. Электросварочные установки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47. Настоящая глава Правил распространяется на стационарные, передвижные (переносные) электросварочные установки для дуговой сварки постоянного и переменного тока.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48. Источники сварочного тока могут присоединяться к распределительным электрическим сетям напряжением не выше 660 В.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49. В качестве источников сварочного тока для всех видов дуговой сварки должны применяться специально для этого предназначенные сварочные трансформаторы или преобразователи (статические или двигатель-генераторные) с электродвигателями либо с двигателями внутреннего сгорания.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50. Схема присоединения нескольких источников сварочного тока при работе их на одну сварочную дугу должна исключать возможность получения между изделием и электродом напряжения, превышающего наибольшее напряжение холостого хода одного из источников сварочного тока.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51. Для подвода тока от источника сварочного тока к электрододержателю электросварочной установки ручной дуговой сварки должен использоваться гибкий сварочный медный кабель с резиновой изоляцией и в резиновой оболочке. Применение кабелей и проводов с изоляцией или в оболочке из полимерных материалов, распространяющих горение, не допускается.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52. Первичная цепь электросварочной установки должна содержать коммутационный (отключающий) и защитный электрические аппараты. Допускается наличие одного аппарата, </w:t>
      </w:r>
      <w:r>
        <w:lastRenderedPageBreak/>
        <w:t>совмещающего указанные функции.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53. Электросварочные установки с многопостовым источником сварочного тока должны иметь устройство для защиты источника от перегрузки (автоматический выключатель, предохранители), а также коммутационный и защитный электрические аппараты на каждой линии, отходящей к сварочному посту.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54. Переносная (передвижная) электросварочная установка должна располагаться на таком расстоянии от коммутационного аппарата, чтобы длина соединяющего их гибкого кабеля была не более 15 м, если иное расстояние не установлено организацией-изготовителем оборудования.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Указанное требование не относится к питанию электросварочных установок по троллейной системе и к тем случаям, когда иная длина предусмотрена конструкцией в соответствии с техническими условиями организации-изготовителя на электросварочную установку. Передвижные электросварочные установки на время их передвижения должны отсоединяться от сети.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55. Все электросварочные установки с источниками переменного и постоянного тока, предназначенные для сварки в особо опасных условиях, определяемых в соответствии с </w:t>
      </w:r>
      <w:hyperlink r:id="rId60">
        <w:r>
          <w:rPr>
            <w:color w:val="0000FF"/>
          </w:rPr>
          <w:t>пунктом 48</w:t>
        </w:r>
      </w:hyperlink>
      <w:r>
        <w:t xml:space="preserve"> Правил по охране труда при выполнении электросварочных и газосварочных работу, утвержденных приказом Минтруда России от 11 декабря 2020 г. N 884н &lt;28&gt; (далее - приказ Минтруда России N 884н),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таких условиях значения. У потребителей в отношении указанных в настоящем пункте Правил электросварочных установок должны быть в наличии технические паспорта и производственные инструкции по эксплуатации.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&lt;28&gt; Зарегистрирован Минюстом России 29 декабря 202 г., регистрационный N 61904. В соответствии с </w:t>
      </w:r>
      <w:hyperlink r:id="rId61">
        <w:r>
          <w:rPr>
            <w:color w:val="0000FF"/>
          </w:rPr>
          <w:t>пунктом 3</w:t>
        </w:r>
      </w:hyperlink>
      <w:r>
        <w:t xml:space="preserve"> приказа Минтруда России N 884н данный акт действует до 31 декабря 2025 г.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56. Переносные, передвижные электросварочные установки должны быть закреплены за электросварщиком с внесением записи об этом в журнал регистрации инвентарного учета, периодической проверки и ремонта переносных и передвижных электроприемников, вспомогательного оборудования к ним.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57. Присоединение и отсоединение от сети электросварочных установок с помощью разборных контактных соединений, а также наблюдение за их исправным состоянием в процессе эксплуатации должен выполнять электротехнический персонал потребителя, на балансе которого находится электросварочная установка, с группой по электробезопасности не ниже III.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58. Измерение сопротивления изоляции электросварочных установок также должно проводиться не реже одного раза в 6 месяцев, а также при наличии видимых механических повреждений.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59. Должностными инструкциями персонала потребителя, утвержденными руководителем или иным уполномоченным должностным лицом потребителя - юридического лица (потребителем - индивидуальным предпринимателем или физическим лицом), должны быть определены обязанности и ответственность за эксплуатацию сварочного оборудования, выполнение годового графика технического обслуживания и ремонта, безопасное проведение сварочных работ. При наличии у потребителя должности главного сварщика или работника, выполняющего его функции, указанные обязанности и ответственность должны быть возложены на него.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Title"/>
        <w:jc w:val="center"/>
        <w:outlineLvl w:val="1"/>
      </w:pPr>
      <w:bookmarkStart w:id="25" w:name="P334"/>
      <w:bookmarkEnd w:id="25"/>
      <w:r>
        <w:lastRenderedPageBreak/>
        <w:t>VI. Общие требования к эксплуатации</w:t>
      </w:r>
    </w:p>
    <w:p w:rsidR="00BA279B" w:rsidRDefault="00BA279B">
      <w:pPr>
        <w:pStyle w:val="ConsPlusTitle"/>
        <w:jc w:val="center"/>
      </w:pPr>
      <w:r>
        <w:t>электротермических установок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60. Настоящая глава Правил распространяется на электротермическое оборудование и электротермические установки всех видов, эксплуатируемые у потребителей.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61. При эксплуатации дуговых электропечей в дополнение к требованиям настоящей главы Правил должны выполняться требования </w:t>
      </w:r>
      <w:hyperlink w:anchor="P356">
        <w:r>
          <w:rPr>
            <w:color w:val="0000FF"/>
          </w:rPr>
          <w:t>главы VII</w:t>
        </w:r>
      </w:hyperlink>
      <w:r>
        <w:t xml:space="preserve"> Правил.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При эксплуатации плазменно-дуговых и электронно-лучевых установок в дополнение к требованиям настоящей главы Правил должны выполняться требования </w:t>
      </w:r>
      <w:hyperlink w:anchor="P370">
        <w:r>
          <w:rPr>
            <w:color w:val="0000FF"/>
          </w:rPr>
          <w:t>главы VIII</w:t>
        </w:r>
      </w:hyperlink>
      <w:r>
        <w:t xml:space="preserve"> Правил.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При эксплуатации индукционных плавильных и нагревательных приборов в дополнение к требованиям настоящей главы Правил должны выполняться требования </w:t>
      </w:r>
      <w:hyperlink w:anchor="P380">
        <w:r>
          <w:rPr>
            <w:color w:val="0000FF"/>
          </w:rPr>
          <w:t>главы IX</w:t>
        </w:r>
      </w:hyperlink>
      <w:r>
        <w:t xml:space="preserve"> Правил.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При эксплуатации установок высокой частоты в дополнение к требованиям настоящей главы Правил должны выполняться требования </w:t>
      </w:r>
      <w:hyperlink w:anchor="P406">
        <w:r>
          <w:rPr>
            <w:color w:val="0000FF"/>
          </w:rPr>
          <w:t>главы X</w:t>
        </w:r>
      </w:hyperlink>
      <w:r>
        <w:t xml:space="preserve"> Правил.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При эксплуатации электродных котлов в дополнение к требованиям настоящей главы Правил должны выполняться требования </w:t>
      </w:r>
      <w:hyperlink w:anchor="P414">
        <w:r>
          <w:rPr>
            <w:color w:val="0000FF"/>
          </w:rPr>
          <w:t>главы XI</w:t>
        </w:r>
      </w:hyperlink>
      <w:r>
        <w:t xml:space="preserve"> Правил.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62. При эксплуатации электротермических установок должны соблюдаться требования </w:t>
      </w:r>
      <w:hyperlink w:anchor="P356">
        <w:r>
          <w:rPr>
            <w:color w:val="0000FF"/>
          </w:rPr>
          <w:t>глав VII</w:t>
        </w:r>
      </w:hyperlink>
      <w:r>
        <w:t xml:space="preserve"> - </w:t>
      </w:r>
      <w:hyperlink w:anchor="P414">
        <w:r>
          <w:rPr>
            <w:color w:val="0000FF"/>
          </w:rPr>
          <w:t>XI</w:t>
        </w:r>
      </w:hyperlink>
      <w:r>
        <w:t xml:space="preserve"> Правил к отдельным элементам, входящим в состав таких установок, а также положения нормативных правовых актов, устанавливающих требования надежности и безопасности в сфере электроэнергетики, относящиеся к эксплуатации трансформаторов, электродвигателей, преобразователей, распределительных устройств, конденсаторных установок, устройств релейной защиты и автоматики, измерительных приборов, и Федеральных </w:t>
      </w:r>
      <w:hyperlink r:id="rId62">
        <w:r>
          <w:rPr>
            <w:color w:val="0000FF"/>
          </w:rPr>
          <w:t>норм и правил</w:t>
        </w:r>
      </w:hyperlink>
      <w:r>
        <w:t xml:space="preserve"> в области промышленной безопасности "Правила безопасности процессов получения или применения металлов", утвержденных приказом Ростехнадзора от 9 декабря 2020 г. N 512 &lt;29&gt; (далее - приказ Ростехнадзора N 512).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&lt;29&gt; Зарегистрирован Минюстом России 30 декабря 2020 г., регистрационный N 61943. В соответствии с </w:t>
      </w:r>
      <w:hyperlink r:id="rId63">
        <w:r>
          <w:rPr>
            <w:color w:val="0000FF"/>
          </w:rPr>
          <w:t>пунктом 2</w:t>
        </w:r>
      </w:hyperlink>
      <w:r>
        <w:t xml:space="preserve"> приказа Ростехнадзора N 512 данный акт действует до 1 января 2027 г.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63. Температура нагрева шин и контактных соединений, плотность тока в проводниках вторичных токопроводов электротермических установок должны периодически контролироваться в сроки, установленные производственными инструкциями, утвержденными потребителем, но не реже одного раза в год. Измерение температуры указанного нагрева должно осуществляться в период с июня по август.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64. Сопротивление изоляции вторичных токопроводов и рабочих токоведущих элементов электропечей и электротермических устройств, включая электронагреватели сопротивления, индукторы, должно измеряться при каждом включении электротермической установки после ремонта и в других случаях, предусмотренных производственными инструкциями, утвержденными потребителем.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65. Контроль качества охлаждающей воды должен осуществляться в соответствии с требованиями производственных инструкций, утвержденных потребителем, с соблюдением установленной ими периодичности контроля.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66. Сопротивление электрической изоляции изолирующих прокладок, предотвращающих соединение с землей через крюк или трос кранов и талей, обслуживающих установки электронагревательных устройств сопротивления прямого действия, а также ферросплавных печей с перепуском самоспекающихся электродов без отключения установок, должно проверяться в </w:t>
      </w:r>
      <w:r>
        <w:lastRenderedPageBreak/>
        <w:t>сроки, устанавливаемые ответственным за электрохозяйство, но не реже одного раза в год.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67. Приемка электротермической установки после ее монтажа должна осуществляться на основании результатов пробной эксплуатации и горячих испытаний, проводимых в соответствии с программой, входящей в техническую документацию электротермической установки.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68. При эксплуатации электропечей сопротивления должны соблюдаться следующие требования: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температура наружной поверхности кожуха электропечи должна быть не выше значений, установленных инструкцией по эксплуатации электропечи организации-изготовителя;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состояние нагревательных элементов должно проверяться в соответствии с инструкцией по эксплуатации электропечи организации-изготовителя.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Title"/>
        <w:jc w:val="center"/>
        <w:outlineLvl w:val="1"/>
      </w:pPr>
      <w:bookmarkStart w:id="26" w:name="P356"/>
      <w:bookmarkEnd w:id="26"/>
      <w:r>
        <w:t>VII. Дуговые электропечи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69. На дуговой печи должны быть сняты рабочие характеристики для всех ступеней вторичного напряжения и ступеней реактивного сопротивления дросселя. При наличии в цехе нескольких электропечей с одинаковыми параметрами рабочие характеристики должны сниматься на одной из них, определяемой потребителем.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70. В период загрузки электропечей раскаленные концы электродов должны находиться под сводом электропечи.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71. На установках дуговых сталеплавильных печей настройка токовой защиты от перегрузки должна согласовываться с действием автоматического регулятора электрического режима. Автоматический регулятор электрического режима должен обеспечивать ликвидацию коротких замыканий за исключением случаев, указанных в </w:t>
      </w:r>
      <w:hyperlink w:anchor="P361">
        <w:r>
          <w:rPr>
            <w:color w:val="0000FF"/>
          </w:rPr>
          <w:t>абзаце втором</w:t>
        </w:r>
      </w:hyperlink>
      <w:r>
        <w:t xml:space="preserve"> настоящего пункта Правил.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27" w:name="P361"/>
      <w:bookmarkEnd w:id="27"/>
      <w:r>
        <w:t>В случаях, когда перемещением электродов невозможно устранить автоматическим регулятором электрического режима короткое замыкание, устранение короткого замыкания должно обеспечиваться защитой от перегрузки.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72. Потребителем должна быть обеспечена периодическая проверка автоматического регулятора электрического режима, в том числе контроль параметров настройки автоматического регулятора электрического режима на соответствие технологическим режимам работы дуговой печи. Объемы и сроки проверок автоматических регуляторов электрического режима должны определяться утвержденными потребителем производственными инструкциями, составленными с учетом инструкции по эксплуатации организации-изготовителя. Проверки автоматических регуляторов электрического режима в полном объеме должны проводиться не реже одного раза в год.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73. Контактные соединения короткой сети токопровода и электродержателей должны подвергаться периодическому осмотру не реже одного раза в 6 месяцев.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74. Контроль качества масла в трансформаторе и масляных выключателях, испытание масла на электрическую прочность, проверка контактов в переключателях, трансформаторах и масляных выключателях должны проводиться персоналом потребителя в сроки, установленные организационно-распорядительными документами ответственного за электрохозяйство и (или) производственными инструкциями, утвержденными потребителем, но не реже, чем это предусмотрено для такого вида оборудования и электроустановок </w:t>
      </w:r>
      <w:hyperlink r:id="rId64">
        <w:r>
          <w:rPr>
            <w:color w:val="0000FF"/>
          </w:rPr>
          <w:t>Правилами</w:t>
        </w:r>
      </w:hyperlink>
      <w:r>
        <w:t xml:space="preserve"> технической эксплуатации электрических станций и сетей.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75. Все работы по подготовке к плавке на установках электрошлакового переплава должны проводиться при отключенном трансформаторе. В случаях, если один трансформатор питает </w:t>
      </w:r>
      <w:r>
        <w:lastRenderedPageBreak/>
        <w:t>попеременно две электрошлаковые установки, потребителем должна быть разработана и утверждена производственная инструкция по безопасной подготовке второй установки, когда включена первая. Перечень таких электроустановок должен быть утвержден потребителем, а указанная в настоящем пункте Правил производственная инструкция - доведена до сведения персонала.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76. Работа дуговых электропечей без фильтрокомпенсирующих устройств не допускается.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77. Работы по перепуску, наращиванию и замене электродов на дуговой сталеплавильной печи, а также по уплотнению электродных отверстий должны проводиться на отключенной электропечи, за исключением случаев, указанных в </w:t>
      </w:r>
      <w:hyperlink w:anchor="P368">
        <w:r>
          <w:rPr>
            <w:color w:val="0000FF"/>
          </w:rPr>
          <w:t>абзаце втором</w:t>
        </w:r>
      </w:hyperlink>
      <w:r>
        <w:t xml:space="preserve"> настоящего пункта Правил.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28" w:name="P368"/>
      <w:bookmarkEnd w:id="28"/>
      <w:r>
        <w:t>Перепуск и наращивание набивных самоспекающихся электродов руднотермических печей, приварку тормозной ленты и загрузку электродной массой допускается проводить без снятия напряжения в электроустановках до 1000 В. Указанные работы должны выполняться с изолированных рабочих (перепускных) площадок, имеющих междуфазные разделительные изоляционные перегородки.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Title"/>
        <w:jc w:val="center"/>
        <w:outlineLvl w:val="1"/>
      </w:pPr>
      <w:bookmarkStart w:id="29" w:name="P370"/>
      <w:bookmarkEnd w:id="29"/>
      <w:r>
        <w:t>VIII. Плазменно-дуговые и электронно-лучевые установки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78. Плазменно-дуговые и электронно-лучевые установки должен обслуживать персонал, специально подготовленный для работы на таких установках.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79. На основании инструкций по эксплуатации организации-изготовителей плазменно-дуговых и электронно-лучевых установок потребителем должна быть составлена и утверждена единая производственная инструкция для электротехнического и электротехнологического персонала по обслуживанию плазменно-дуговых и электронно-лучевых установок, учитывающая специфику производственной деятельности и условий эксплуатации электроустановок потребителя.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80. Плазменно-дуговые и электронно-лучевые установки должны быть оборудованы следующими блокировками: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электрической, отключающей масляные выключатели при открывании дверок, ограждений блоков и помещения электрооборудования (замки электрической блокировки);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механической блокировкой приводов разъединителей, допускающей открывание дверок камер масляного выключателя, а также разъединителей выпрямителя и блока накала при отключенном положении разъединителей.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81. Открывать двери блока сигнализации, крышку пульта управления и защитные кожухи электрооборудования при включенной установке не допускается.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82. Ремонтные работы в зоне лучевого нагревателя электронно-лучевой или плазменно-дуговой установки должны проводиться после ее отключения и наложения заземления.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Title"/>
        <w:jc w:val="center"/>
        <w:outlineLvl w:val="1"/>
      </w:pPr>
      <w:bookmarkStart w:id="30" w:name="P380"/>
      <w:bookmarkEnd w:id="30"/>
      <w:r>
        <w:t>IX. Индукционные плавильные и нагревательные</w:t>
      </w:r>
    </w:p>
    <w:p w:rsidR="00BA279B" w:rsidRDefault="00BA279B">
      <w:pPr>
        <w:pStyle w:val="ConsPlusTitle"/>
        <w:jc w:val="center"/>
      </w:pPr>
      <w:r>
        <w:t>приборы (установки)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 xml:space="preserve">83. </w:t>
      </w:r>
      <w:hyperlink w:anchor="P384">
        <w:r>
          <w:rPr>
            <w:color w:val="0000FF"/>
          </w:rPr>
          <w:t>Пункты 84</w:t>
        </w:r>
      </w:hyperlink>
      <w:r>
        <w:t xml:space="preserve"> - </w:t>
      </w:r>
      <w:hyperlink w:anchor="P399">
        <w:r>
          <w:rPr>
            <w:color w:val="0000FF"/>
          </w:rPr>
          <w:t>91</w:t>
        </w:r>
      </w:hyperlink>
      <w:r>
        <w:t xml:space="preserve"> настоящей главы Правил распространяются на индукционные плавильные и нагревательные приборы (установки) промышленной (50 Гц), повышенной (до 30 кГц) и высокой (свыше 30 кГц) частоты электрического тока.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31" w:name="P384"/>
      <w:bookmarkEnd w:id="31"/>
      <w:r>
        <w:t>84. Для снижения электрокоррозии от токов утечки металлические трубы системы водоохлаждения должны быть заземлены в самом начале перехода их в изолированные шланги, присоединенные к находящимся под напряжением водоохлаждаемым деталям.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lastRenderedPageBreak/>
        <w:t>85. Водоохлаждение должно осуществляться непрерывно с момента включения установки до полного охлаждения деталей после отключения. Наличие блокировки водоохлаждения с включающим устройством установки обязательно.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86. Электротехнический персонал, обслуживающий индукционные плавильные печи и нагревательные установки, должен вести наблюдение за степенью нагрева ее конструктивных элементов от токов, наводимых электромагнитными полями рассеяния. Периодичность наблюдения определяется производственными инструкциями по эксплуатации индукционных плавильных печей и нагревательных установок, утвержденными потребителем. В зависимости от полученных результатов должны приниматься меры по снижению потерь.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87. Осмотр установок должен проводиться электротехническим персоналом в соответствии с графиком, утвержденным руководителем или иным уполномоченным должностным лицом потребителя. Результаты осмотра и принятые меры по ликвидации неисправностей должны быть занесены в журнал работы установки.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В ходе осмотра должна быть выполнена проверка установки на предмет: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а) безотказности работы всех блокирующих устройств, обеспечивающих безопасные условия труда персонала, и очередность включения всех технологических и электрических элементов установки;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б) надежности экранирования и заземления отдельных блоков;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в) чистоты контактов пускорегулирующей аппаратуры, имеющей наибольшее количество включений и отключений за предшествующий период, определенный руководителем или иным уполномоченным должностным лицом потребителя;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г) правильности работы контактов с гашением дуги;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д) отсутствия накипи на водоохлаждаемых поверхностях деталей установки;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е) отсутствия пыли на частях установки.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88. Осмотр индукционных установок и ремонтные работы на них должны проводиться после их отключения от источников питания.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89. Система охлаждения индуктора индукционных плавильных печей должна иметь блокировку, обеспечивающую снятие напряжения с индуктора при прекращении подачи воды.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90. При проведении плавок в индукционных плавильных печах допускается касаться шихты инструментом с изолированными ручками.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Включение контурных конденсаторов под напряжением для подстройки колебательного контура в процессе плавки в индукционных плавильных печах допускается при наличии разъединителей с дистанционным приводом. Отключение контурных конденсаторов под напряжением не допускается.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32" w:name="P399"/>
      <w:bookmarkEnd w:id="32"/>
      <w:r>
        <w:t>91. Нагревательные посты, на которых выполняются операции термообработки и которые являются частью кузнечнопрессовых и прокатных станов, трубосварочных станков или иных специализированных агрегатов, предназначенных для выполнения определенных видов работ, должны быть встроены в соответствующий стан, станок или агрегат в виде отдельных узлов.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92. При работе на нагревательном посту с открытыми нагревательными индукторами, включенными через понижающий согласующий высокочастотный трансформатор, должны быть предусмотрены следующие защитные мероприятия: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lastRenderedPageBreak/>
        <w:t>а) кнопки управления нагревом и отключением нагревательного поста должны быть размещены рядом с нагревательным индуктором в удобном для оператора-термиста месте;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б) одна точка вторичной обмотки согласующего высокочастотного трансформатора должна быть заземлена в любом месте;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в) оператор-термист должен иметь средства индивидуальной защиты;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г) должен быть вывешен плакат "Установка деталей и касание рукой индуктора при включенном напряжении не допускается".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Title"/>
        <w:jc w:val="center"/>
        <w:outlineLvl w:val="1"/>
      </w:pPr>
      <w:bookmarkStart w:id="33" w:name="P406"/>
      <w:bookmarkEnd w:id="33"/>
      <w:r>
        <w:t>X. Установки высокой частоты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93. К установкам высокой частоты относятся электроустановки, используемые для термообработки материалов (металлов - при индукционном нагреве, непроводящих материалов - в электрическом поле конденсаторов) и их ультразвуковой обработки.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94. При проведении наладочных или ремонтных работ под напряжением со снятием постоянного ограждения с установки или ее деблокировкой должны выполняться мероприятия для создания безопасных условий работы в соответствии с </w:t>
      </w:r>
      <w:hyperlink r:id="rId65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95. Во время измерений на работающей установке проводить регулировочные работы, связанные с проникновением за постоянные ограждения и приближением к токоведущим частям, не допускается.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96. В технологических элементах установок для ультразвуковой обработки должны быть реализованы меры, обеспечивающие отсутствие электрических потенциалов в тех средах и материалах, с которыми приходится соприкасаться обслуживающему персоналу.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Работы по ремонту установок должны проводиться после снятия с них напряжения.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Title"/>
        <w:jc w:val="center"/>
        <w:outlineLvl w:val="1"/>
      </w:pPr>
      <w:bookmarkStart w:id="34" w:name="P414"/>
      <w:bookmarkEnd w:id="34"/>
      <w:r>
        <w:t>XI. Электродные котлы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97. Требования настоящей главы Правил распространяются на электродные водогрейные и паровые котлы независимо от рабочего давления и температуры нагрева воды в них, питающиеся от источников тока промышленной частоты напряжением как до, так и выше 1000 В, предназначенные для систем отопления, горячего водоснабжения и пароснабжения жилых, коммунально-бытовых, общественных и производственных зданий, сооружений, промышленных и сельскохозяйственных установок.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98. При эксплуатации электродных водогрейных и паровых котлов и связанных с ними трубопроводов должны соблюдаться требования федеральных </w:t>
      </w:r>
      <w:hyperlink r:id="rId66">
        <w:r>
          <w:rPr>
            <w:color w:val="0000FF"/>
          </w:rPr>
          <w:t>норм и правил</w:t>
        </w:r>
      </w:hyperlink>
      <w:r>
        <w:t xml:space="preserve"> в области промышленной безопасности "Правила промышленной безопасности при использовании оборудования, работающего под избыточным давлением", утвержденных приказом Ростехнадзора от 15 декабря 2020 г. N 536 &lt;30&gt; (далее - приказ Ростехнадзора N 536).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&lt;30&gt; Зарегистрирован Минюстом России 31 декабря 2020 г., регистрационный N 61998. В соответствии с </w:t>
      </w:r>
      <w:hyperlink r:id="rId67">
        <w:r>
          <w:rPr>
            <w:color w:val="0000FF"/>
          </w:rPr>
          <w:t>пунктом 2</w:t>
        </w:r>
      </w:hyperlink>
      <w:r>
        <w:t xml:space="preserve"> приказа Ростехнадзора N 536 данный акт действует до 1 января 2027 г.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99. В электрокотельной напряжением выше 1000 В должно быть предусмотрено отдельное помещение для электротехнического персонала. В этом же помещении могут устанавливаться пульт телеуправления и телеизмерения, а также устройства релейной защиты и автоматики.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lastRenderedPageBreak/>
        <w:t>100. При эксплуатации электродных котлов должно быть обеспечено постоянное дежурство обслуживающего его персонала. Работа электродных котлов без постоянного дежурства персонала допускается при наличии устройств автоматического и (или) дистанционного управления, обеспечивающих ведение нормального режима работы электродных котлов автоматически или с пульта управления и возможность остановки электродных котлов с пульта управления, а также при наличии защиты, обеспечивающей остановку котла при нарушении режимов работы с подачей сигнала на пульт управления.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101. Регулирование мощности электродных котлов под напряжением не допускается.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Электродный котел должен быть отключен электротехническим персоналом потребителя в срок, определенный в утвержденной потребителем производственной инструкции, при: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несчастном случае;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исчезновении напряжения на устройствах дистанционного и автоматического управления и на всех контрольно-измерительных приборах;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повышении давления в котле выше разрешенного на 10% и продолжении его роста;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прекращении или снижении расхода воды через водогрейный котел ниже минимально допустимого, а также в других случаях, предусмотренных производственной инструкцией.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В производственной инструкции, утвержденной потребителем, должен быть также предусмотрен порядок устранения аварийного состояния и пуска электродных котлов.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35" w:name="P430"/>
      <w:bookmarkEnd w:id="35"/>
      <w:r>
        <w:t>102. В отношении каждого котла напряжением выше 1000 В, установленного в котельной, должно быть обеспечено ведение журнала, в который заносятся дата, вид ремонта, результаты осмотра, сведения о замене деталей, данные об аварийных ситуациях.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103. Осмотр электродных котлов напряжением до 1000 В должен выполняться перед каждым отопительным сезоном, а напряжением выше 1000 В - с определенной периодичностью, устанавливаемой графиком, но не реже одного раза в месяц. Осмотр должен осуществляться в соответствии с производственной инструкцией, утвержденной потребителем.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Результаты осмотра и меры по устранению неисправностей должны заноситься в журнал, указанный в </w:t>
      </w:r>
      <w:hyperlink w:anchor="P430">
        <w:r>
          <w:rPr>
            <w:color w:val="0000FF"/>
          </w:rPr>
          <w:t>пункте 102</w:t>
        </w:r>
      </w:hyperlink>
      <w:r>
        <w:t xml:space="preserve"> Правил, за подписью работника, проводившего осмотр.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36" w:name="P433"/>
      <w:bookmarkEnd w:id="36"/>
      <w:r>
        <w:t>104. Планово-предупредительный ремонт электродных котлов напряжением выше 1000 В должен проводиться с периодичностью, устанавливаемой потребителем в графике ремонта таких электродных котлов, но не реже одного раза в 6 месяцев. Планово-предупредительный ремонт котлов напряжением до 1000 В должен проводиться по решению технического руководителя потребителя или иного уполномоченного им должностного лица.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105. Профилактические испытания и измерения на электродных котлах потребителей должны проводиться в соответствии с </w:t>
      </w:r>
      <w:hyperlink w:anchor="P487">
        <w:r>
          <w:rPr>
            <w:color w:val="0000FF"/>
          </w:rPr>
          <w:t>приложением N 2</w:t>
        </w:r>
      </w:hyperlink>
      <w:r>
        <w:t xml:space="preserve"> к Правилам.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Title"/>
        <w:jc w:val="center"/>
        <w:outlineLvl w:val="1"/>
      </w:pPr>
      <w:bookmarkStart w:id="37" w:name="P436"/>
      <w:bookmarkEnd w:id="37"/>
      <w:r>
        <w:t>XII. Объекты по производству электрической</w:t>
      </w:r>
    </w:p>
    <w:p w:rsidR="00BA279B" w:rsidRDefault="00BA279B">
      <w:pPr>
        <w:pStyle w:val="ConsPlusTitle"/>
        <w:jc w:val="center"/>
      </w:pPr>
      <w:r>
        <w:t>энергии потребителей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106. Настоящая глава Правил распространяется на стационарные и передвижные объекты по производству электрической энергии (бензиновые, дизельные, газовые), работающие в изолированном (автономном) от энергосистемы режиме и используемые в качестве основных или резервных (аварийных) источников питания электроприемников потребителей (далее - ТЭП).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107. Конструкция, исполнение и класс изоляции электрических машин, аппаратов, приборов </w:t>
      </w:r>
      <w:r>
        <w:lastRenderedPageBreak/>
        <w:t>и прочего оборудования на ТЭП, а также проводов и кабелей должны соответствовать параметрам электрической сети потребителя, условиям окружающей среды и внешним воздействующим факторам, или должна быть обеспечена защита от этих воздействий.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108. К эксплуатации допускаются ТЭП, на которых полностью смонтированы, проверены и испытаны оборудование, устройства релейной защиты и автоматики, контрольно-измерительные приборы и сигнализация, провода и кабели, средства защиты.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109. Режим работы нейтрали ТЭП и защитные меры электробезопасности должны соответствовать режиму работы нейтрали и защитным мерам, принятым в сети (электроприемниках) потребителя.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110. Подключение аварийной или резервной ТЭП к объектам электросетевого хозяйства (электроприемникам) потребителя вручную допускается при наличии блокировок между коммутационными аппаратами, исключающих возможность одновременной подачи напряжения: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в электрическую сеть потребителя от резервной (аварийной) ТЭП и из электрической сети сетевой организации;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в электрическую сеть сетевой организации от резервной (аварийной) ТЭП.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111. Автоматическое включение аварийной или резервной ТЭП в случае исчезновения напряжения со стороны энергосистемы должно осуществляться с помощью устройств релейной защиты и автоматики, обеспечивающих отключение коммутационных аппаратов электроустановок от электрической сети энергоснабжающей (сетевой) организации и последующую подачу напряжения электроприемникам от ТЭП.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112. Обслуживание ТЭП должно осуществляться персоналом, имеющим группу по электробезопасности, позволяющую работать с такой ТЭП. Обслуживающий персонал в своих действиях должен руководствоваться требованиями утверждаемой потребителем производственной инструкции по эксплуатации ТЭП.</w:t>
      </w:r>
    </w:p>
    <w:p w:rsidR="00BA279B" w:rsidRDefault="00BA279B">
      <w:pPr>
        <w:pStyle w:val="ConsPlusNormal"/>
        <w:spacing w:before="220"/>
        <w:ind w:firstLine="540"/>
        <w:jc w:val="both"/>
      </w:pPr>
      <w:bookmarkStart w:id="38" w:name="P448"/>
      <w:bookmarkEnd w:id="38"/>
      <w:r>
        <w:t>113. Для каждого вида технического обслуживания и ремонта ТЭП потребителем должны быть определены сроки такого технического обслуживания и ремонта с учетом документации организации-изготовителя. Осмотр ТЭП, находящейся в резерве, должен проводиться не реже одного раза в 3 месяца.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114. Выполнение мероприятий по подготовке к пуску ТЭП, допустимая продолжительность ее работы на холостом ходу или под нагрузкой, а также результаты осмотров и проверок работы ТЭП должны оформляться в эксплуатационной документации.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 xml:space="preserve">115. Потребитель обязан передать сведения о наличии резервных (аварийных) стационарных или передвижных ТЭП, их установленной мощности, номинальном напряжении и условиям запуска сетевой (энергоснабжающей) организации, с которой указанным потребителем заключен договор оказания услуг по передаче электрической энергии (договор энергоснабжения). Указанные сведения также должны быть учтены в двусторонних документах о технологическом взаимодействии, утверждаемых потребителем и сетевой (энергоснабжающей) организацией на двухсторонней основе в соответствии с </w:t>
      </w:r>
      <w:hyperlink r:id="rId68">
        <w:r>
          <w:rPr>
            <w:color w:val="0000FF"/>
          </w:rPr>
          <w:t>пунктом 40</w:t>
        </w:r>
      </w:hyperlink>
      <w:r>
        <w:t xml:space="preserve"> Правил технологического функционирования электроэнергетических систем и отражены на нормальной схеме электрических соединений.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116. Организационно-распорядительным документом потребителя - юридического лица из числа работников потребителя должно быть назначено лицо, ответственное за контроль технического состояния резервных (аварийных) ТЭП и обеспечение их топливом.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jc w:val="right"/>
        <w:outlineLvl w:val="1"/>
      </w:pPr>
      <w:r>
        <w:t>Приложение N 1</w:t>
      </w:r>
    </w:p>
    <w:p w:rsidR="00BA279B" w:rsidRDefault="00BA279B">
      <w:pPr>
        <w:pStyle w:val="ConsPlusNormal"/>
        <w:jc w:val="right"/>
      </w:pPr>
      <w:r>
        <w:t>к Правилам технической эксплуатации</w:t>
      </w:r>
    </w:p>
    <w:p w:rsidR="00BA279B" w:rsidRDefault="00BA279B">
      <w:pPr>
        <w:pStyle w:val="ConsPlusNormal"/>
        <w:jc w:val="right"/>
      </w:pPr>
      <w:r>
        <w:t>электроустановок потребителей</w:t>
      </w:r>
    </w:p>
    <w:p w:rsidR="00BA279B" w:rsidRDefault="00BA279B">
      <w:pPr>
        <w:pStyle w:val="ConsPlusNormal"/>
        <w:jc w:val="right"/>
      </w:pPr>
      <w:r>
        <w:t>электрической энергии, утвержденным</w:t>
      </w:r>
    </w:p>
    <w:p w:rsidR="00BA279B" w:rsidRDefault="00BA279B">
      <w:pPr>
        <w:pStyle w:val="ConsPlusNormal"/>
        <w:jc w:val="right"/>
      </w:pPr>
      <w:r>
        <w:t>приказом Минэнерго России</w:t>
      </w:r>
    </w:p>
    <w:p w:rsidR="00BA279B" w:rsidRDefault="00BA279B">
      <w:pPr>
        <w:pStyle w:val="ConsPlusNormal"/>
        <w:jc w:val="right"/>
      </w:pPr>
      <w:r>
        <w:t>от 12 августа 2022 г. N 811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Title"/>
        <w:jc w:val="center"/>
      </w:pPr>
      <w:bookmarkStart w:id="39" w:name="P464"/>
      <w:bookmarkEnd w:id="39"/>
      <w:r>
        <w:t>ТЕРМИНЫ И ОПРЕДЕЛЕНИЯ,</w:t>
      </w:r>
    </w:p>
    <w:p w:rsidR="00BA279B" w:rsidRDefault="00BA279B">
      <w:pPr>
        <w:pStyle w:val="ConsPlusTitle"/>
        <w:jc w:val="center"/>
      </w:pPr>
      <w:r>
        <w:t>ИСПОЛЬЗУЕМЫЕ В ПРАВИЛАХ ТЕХНИЧЕСКОЙ ЭКСПЛУАТАЦИИ</w:t>
      </w:r>
    </w:p>
    <w:p w:rsidR="00BA279B" w:rsidRDefault="00BA279B">
      <w:pPr>
        <w:pStyle w:val="ConsPlusTitle"/>
        <w:jc w:val="center"/>
      </w:pPr>
      <w:r>
        <w:t>ЭЛЕКТРОУСТАНОВОК ПОТРЕБИТЕЛЕЙ ЭЛЕКТРИЧЕСКОЙ ЭНЕРГИИ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Блокировка электротехнического изделия (устройства) - часть электротехнического изделия (устройства),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частям, находящимся под напряжением;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дуговая электропечь - электропечь, в которой металл плавится за счет тепла от электрической дуги, горящей между электродами и металлом или между электродами;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передвижной (переносной) электроприемник - электроприемник, при использовании которого по назначению предусматривается возможность нахождения его в руках работника (оператора) и перемещения к месту применения по назначению вручную (без применения транспортных средств), а также вспомогательное оборудование к нему;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электропроводка - совокупность проводов и кабелей с относящимися к ним креплениями, установочными и защитными деталями, проложенных по поверхности или внутри конструктивных строительных элементов;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электросварочные установки - электротехническое устройство, способное обеспечивать подачу электрической энергии с соответствующими параметрами для претворения ее в необходимое количество тепла в зоне плавления или нагревания металла до пластического состояния с целью выполнения электротехнологических процессов сварки, наплавления, резки;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электротермические установки - установки, в которых электрическая энергия используется для нагрева изделий;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электроустановка - комплекс взаимосвязанного оборудования, устройств, зданий и сооружений, предназначенных для производства или преобразования, передачи, накопления, распределения или потребления электрической энергии.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jc w:val="right"/>
        <w:outlineLvl w:val="1"/>
      </w:pPr>
      <w:r>
        <w:t>Приложение N 2</w:t>
      </w:r>
    </w:p>
    <w:p w:rsidR="00BA279B" w:rsidRDefault="00BA279B">
      <w:pPr>
        <w:pStyle w:val="ConsPlusNormal"/>
        <w:jc w:val="right"/>
      </w:pPr>
      <w:r>
        <w:t>к Правилам технической эксплуатации</w:t>
      </w:r>
    </w:p>
    <w:p w:rsidR="00BA279B" w:rsidRDefault="00BA279B">
      <w:pPr>
        <w:pStyle w:val="ConsPlusNormal"/>
        <w:jc w:val="right"/>
      </w:pPr>
      <w:r>
        <w:t>электроустановок потребителей</w:t>
      </w:r>
    </w:p>
    <w:p w:rsidR="00BA279B" w:rsidRDefault="00BA279B">
      <w:pPr>
        <w:pStyle w:val="ConsPlusNormal"/>
        <w:jc w:val="right"/>
      </w:pPr>
      <w:r>
        <w:t>электрической энергии, утвержденным</w:t>
      </w:r>
    </w:p>
    <w:p w:rsidR="00BA279B" w:rsidRDefault="00BA279B">
      <w:pPr>
        <w:pStyle w:val="ConsPlusNormal"/>
        <w:jc w:val="right"/>
      </w:pPr>
      <w:r>
        <w:t>приказом Минэнерго России</w:t>
      </w:r>
    </w:p>
    <w:p w:rsidR="00BA279B" w:rsidRDefault="00BA279B">
      <w:pPr>
        <w:pStyle w:val="ConsPlusNormal"/>
        <w:jc w:val="right"/>
      </w:pPr>
      <w:r>
        <w:t>от 12 августа 2022 г. N 811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Title"/>
        <w:jc w:val="center"/>
      </w:pPr>
      <w:bookmarkStart w:id="40" w:name="P487"/>
      <w:bookmarkEnd w:id="40"/>
      <w:r>
        <w:t>ТРЕБОВАНИЯ</w:t>
      </w:r>
    </w:p>
    <w:p w:rsidR="00BA279B" w:rsidRDefault="00BA279B">
      <w:pPr>
        <w:pStyle w:val="ConsPlusTitle"/>
        <w:jc w:val="center"/>
      </w:pPr>
      <w:r>
        <w:lastRenderedPageBreak/>
        <w:t>К ПРОВЕДЕНИЮ ПРОФИЛАКТИЧЕСКИХ ИСПЫТАНИЙ И ИЗМЕРЕНИЙ</w:t>
      </w:r>
    </w:p>
    <w:p w:rsidR="00BA279B" w:rsidRDefault="00BA279B">
      <w:pPr>
        <w:pStyle w:val="ConsPlusTitle"/>
        <w:jc w:val="center"/>
      </w:pPr>
      <w:r>
        <w:t>НА ЭЛЕКТРОДНЫХ КОТЛАХ ПОТРЕБИТЕЛЕЙ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Сроки испытаний и измерений параметров электродных котлов при капитальном ремонте (далее - КР), текущем ремонте (далее - ТР) и при межремонтных испытаниях и измерениях, а также при профилактических испытаниях, выполняемых для оценки состояния электрооборудования и не связанных с выводом электрооборудования в ремонт (далее - МИ), должны быть определены техническим руководителем потребителя с учетом рекомендаций инструкций организации-изготовителя, технического состояния и условий эксплуатации электроустановок потребителя.</w:t>
      </w:r>
    </w:p>
    <w:p w:rsidR="00BA279B" w:rsidRDefault="00BA279B">
      <w:pPr>
        <w:pStyle w:val="ConsPlusNormal"/>
        <w:spacing w:before="220"/>
        <w:ind w:firstLine="540"/>
        <w:jc w:val="both"/>
      </w:pPr>
      <w:r>
        <w:t>Объем проводимых испытаний, измерений электродных котлов и требования к их проведению приведены в таблице 1.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jc w:val="right"/>
      </w:pPr>
      <w:r>
        <w:t>Таблица 1</w:t>
      </w:r>
    </w:p>
    <w:p w:rsidR="00BA279B" w:rsidRDefault="00BA27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361"/>
        <w:gridCol w:w="5046"/>
      </w:tblGrid>
      <w:tr w:rsidR="00BA279B">
        <w:tc>
          <w:tcPr>
            <w:tcW w:w="2665" w:type="dxa"/>
          </w:tcPr>
          <w:p w:rsidR="00BA279B" w:rsidRDefault="00BA279B">
            <w:pPr>
              <w:pStyle w:val="ConsPlusNormal"/>
              <w:jc w:val="center"/>
            </w:pPr>
            <w:r>
              <w:t>Наименование испытания, измерения</w:t>
            </w:r>
          </w:p>
        </w:tc>
        <w:tc>
          <w:tcPr>
            <w:tcW w:w="1361" w:type="dxa"/>
          </w:tcPr>
          <w:p w:rsidR="00BA279B" w:rsidRDefault="00BA279B">
            <w:pPr>
              <w:pStyle w:val="ConsPlusNormal"/>
              <w:jc w:val="center"/>
            </w:pPr>
            <w:r>
              <w:t>Вид испытания</w:t>
            </w:r>
          </w:p>
        </w:tc>
        <w:tc>
          <w:tcPr>
            <w:tcW w:w="5046" w:type="dxa"/>
          </w:tcPr>
          <w:p w:rsidR="00BA279B" w:rsidRDefault="00BA279B">
            <w:pPr>
              <w:pStyle w:val="ConsPlusNormal"/>
              <w:jc w:val="center"/>
            </w:pPr>
            <w:r>
              <w:t>Требования к проведению испытания, измерения</w:t>
            </w:r>
          </w:p>
        </w:tc>
      </w:tr>
      <w:tr w:rsidR="00BA279B">
        <w:tc>
          <w:tcPr>
            <w:tcW w:w="2665" w:type="dxa"/>
          </w:tcPr>
          <w:p w:rsidR="00BA279B" w:rsidRDefault="00BA279B">
            <w:pPr>
              <w:pStyle w:val="ConsPlusNormal"/>
              <w:ind w:firstLine="283"/>
              <w:jc w:val="both"/>
            </w:pPr>
            <w:r>
              <w:t>1. Измерение сопротивления столба воды изолирующей вставки.</w:t>
            </w:r>
          </w:p>
        </w:tc>
        <w:tc>
          <w:tcPr>
            <w:tcW w:w="1361" w:type="dxa"/>
          </w:tcPr>
          <w:p w:rsidR="00BA279B" w:rsidRDefault="00BA279B">
            <w:pPr>
              <w:pStyle w:val="ConsPlusNormal"/>
            </w:pPr>
            <w:r>
              <w:t>КР, ТР или МИ</w:t>
            </w:r>
          </w:p>
        </w:tc>
        <w:tc>
          <w:tcPr>
            <w:tcW w:w="5046" w:type="dxa"/>
          </w:tcPr>
          <w:p w:rsidR="00BA279B" w:rsidRDefault="00BA279B">
            <w:pPr>
              <w:pStyle w:val="ConsPlusNormal"/>
              <w:ind w:firstLine="283"/>
              <w:jc w:val="both"/>
            </w:pPr>
            <w:r>
              <w:t>Для электродных котлов напряжением выше 1000 В сопротивление столба воды (Ом) в каждой из вставок должно быть не менее 0,06 Uф.n, где</w:t>
            </w:r>
          </w:p>
          <w:p w:rsidR="00BA279B" w:rsidRDefault="00BA279B">
            <w:pPr>
              <w:pStyle w:val="ConsPlusNormal"/>
              <w:jc w:val="both"/>
            </w:pPr>
            <w:r>
              <w:t>Uф. - фазное напряжение электродного котла, В;</w:t>
            </w:r>
          </w:p>
          <w:p w:rsidR="00BA279B" w:rsidRDefault="00BA279B">
            <w:pPr>
              <w:pStyle w:val="ConsPlusNormal"/>
              <w:jc w:val="both"/>
            </w:pPr>
            <w:r>
              <w:t>n - число изолирующих вставок всех котлов котельной.</w:t>
            </w:r>
          </w:p>
          <w:p w:rsidR="00BA279B" w:rsidRDefault="00BA279B">
            <w:pPr>
              <w:pStyle w:val="ConsPlusNormal"/>
              <w:ind w:firstLine="283"/>
              <w:jc w:val="both"/>
            </w:pPr>
            <w:r>
              <w:t>Для электродных котлов напряжением до 1000 В сопротивление столба воды должно быть не менее 200n.</w:t>
            </w:r>
          </w:p>
        </w:tc>
      </w:tr>
      <w:tr w:rsidR="00BA279B">
        <w:tc>
          <w:tcPr>
            <w:tcW w:w="2665" w:type="dxa"/>
          </w:tcPr>
          <w:p w:rsidR="00BA279B" w:rsidRDefault="00BA279B">
            <w:pPr>
              <w:pStyle w:val="ConsPlusNormal"/>
              <w:ind w:firstLine="283"/>
              <w:jc w:val="both"/>
            </w:pPr>
            <w:r>
              <w:t>2. Измерение удельного сопротивления питательной (сетевой) воды.</w:t>
            </w:r>
          </w:p>
        </w:tc>
        <w:tc>
          <w:tcPr>
            <w:tcW w:w="1361" w:type="dxa"/>
          </w:tcPr>
          <w:p w:rsidR="00BA279B" w:rsidRDefault="00BA279B">
            <w:pPr>
              <w:pStyle w:val="ConsPlusNormal"/>
            </w:pPr>
            <w:r>
              <w:t>КР, МИ</w:t>
            </w:r>
          </w:p>
        </w:tc>
        <w:tc>
          <w:tcPr>
            <w:tcW w:w="5046" w:type="dxa"/>
          </w:tcPr>
          <w:p w:rsidR="00BA279B" w:rsidRDefault="00BA279B">
            <w:pPr>
              <w:pStyle w:val="ConsPlusNormal"/>
              <w:ind w:firstLine="283"/>
              <w:jc w:val="both"/>
            </w:pPr>
            <w:r>
              <w:t>При 20 C° должно быть в пределах, указанных организацией-изготовителем.</w:t>
            </w:r>
          </w:p>
          <w:p w:rsidR="00BA279B" w:rsidRDefault="00BA279B">
            <w:pPr>
              <w:pStyle w:val="ConsPlusNormal"/>
              <w:ind w:firstLine="283"/>
              <w:jc w:val="both"/>
            </w:pPr>
            <w:r>
              <w:t>Измеряется у электродных котлов перед пуском и при изменении источника водоснабжения, а при снабжении из открытых водоемов - не реже 4 раз в год.</w:t>
            </w:r>
          </w:p>
        </w:tc>
      </w:tr>
      <w:tr w:rsidR="00BA279B">
        <w:tc>
          <w:tcPr>
            <w:tcW w:w="2665" w:type="dxa"/>
          </w:tcPr>
          <w:p w:rsidR="00BA279B" w:rsidRDefault="00BA279B">
            <w:pPr>
              <w:pStyle w:val="ConsPlusNormal"/>
              <w:ind w:firstLine="283"/>
              <w:jc w:val="both"/>
            </w:pPr>
            <w:r>
              <w:t>3. Испытание повышенным напряжением промышленной частоты:</w:t>
            </w:r>
          </w:p>
          <w:p w:rsidR="00BA279B" w:rsidRDefault="00BA279B">
            <w:pPr>
              <w:pStyle w:val="ConsPlusNormal"/>
              <w:ind w:firstLine="283"/>
              <w:jc w:val="both"/>
            </w:pPr>
            <w:r>
              <w:t>1) изоляции корпуса котла вместе с изолирующими вставками, освобожденными от воды;</w:t>
            </w:r>
          </w:p>
          <w:p w:rsidR="00BA279B" w:rsidRDefault="00BA279B">
            <w:pPr>
              <w:pStyle w:val="ConsPlusNormal"/>
              <w:ind w:firstLine="283"/>
              <w:jc w:val="both"/>
            </w:pPr>
            <w:r>
              <w:t>2) изолирующих вставок.</w:t>
            </w:r>
          </w:p>
        </w:tc>
        <w:tc>
          <w:tcPr>
            <w:tcW w:w="1361" w:type="dxa"/>
          </w:tcPr>
          <w:p w:rsidR="00BA279B" w:rsidRDefault="00BA279B">
            <w:pPr>
              <w:pStyle w:val="ConsPlusNormal"/>
            </w:pPr>
            <w:r>
              <w:t>КР</w:t>
            </w:r>
          </w:p>
        </w:tc>
        <w:tc>
          <w:tcPr>
            <w:tcW w:w="5046" w:type="dxa"/>
          </w:tcPr>
          <w:p w:rsidR="00BA279B" w:rsidRDefault="00BA279B">
            <w:pPr>
              <w:pStyle w:val="ConsPlusNormal"/>
              <w:ind w:firstLine="283"/>
              <w:jc w:val="both"/>
            </w:pPr>
            <w:r>
              <w:t>Продолжительность испытания - 1 мин.</w:t>
            </w:r>
          </w:p>
          <w:p w:rsidR="00BA279B" w:rsidRDefault="00BA279B">
            <w:pPr>
              <w:pStyle w:val="ConsPlusNormal"/>
              <w:ind w:firstLine="283"/>
              <w:jc w:val="both"/>
            </w:pPr>
            <w:r>
              <w:t xml:space="preserve">Испытание изоляции корпуса котла вместе с изолирующими вставками, освобожденными от воды, проводится испытательными напряжениями, указанными в </w:t>
            </w:r>
            <w:hyperlink w:anchor="P526">
              <w:r>
                <w:rPr>
                  <w:color w:val="0000FF"/>
                </w:rPr>
                <w:t>таблице 2</w:t>
              </w:r>
            </w:hyperlink>
            <w:r>
              <w:t>.</w:t>
            </w:r>
          </w:p>
          <w:p w:rsidR="00BA279B" w:rsidRDefault="00BA279B">
            <w:pPr>
              <w:pStyle w:val="ConsPlusNormal"/>
              <w:ind w:firstLine="283"/>
              <w:jc w:val="both"/>
            </w:pPr>
            <w:r>
              <w:t>Испытание изолирующих вставок проводится двукратным номинальным фазным напряжением.</w:t>
            </w:r>
          </w:p>
        </w:tc>
      </w:tr>
      <w:tr w:rsidR="00BA279B">
        <w:tc>
          <w:tcPr>
            <w:tcW w:w="2665" w:type="dxa"/>
          </w:tcPr>
          <w:p w:rsidR="00BA279B" w:rsidRDefault="00BA279B">
            <w:pPr>
              <w:pStyle w:val="ConsPlusNormal"/>
              <w:ind w:firstLine="283"/>
              <w:jc w:val="both"/>
            </w:pPr>
            <w:r>
              <w:t>4. Измерение сопротивления изоляции котла без воды.</w:t>
            </w:r>
          </w:p>
        </w:tc>
        <w:tc>
          <w:tcPr>
            <w:tcW w:w="1361" w:type="dxa"/>
          </w:tcPr>
          <w:p w:rsidR="00BA279B" w:rsidRDefault="00BA279B">
            <w:pPr>
              <w:pStyle w:val="ConsPlusNormal"/>
            </w:pPr>
            <w:r>
              <w:t>КР</w:t>
            </w:r>
          </w:p>
        </w:tc>
        <w:tc>
          <w:tcPr>
            <w:tcW w:w="5046" w:type="dxa"/>
          </w:tcPr>
          <w:p w:rsidR="00BA279B" w:rsidRDefault="00BA279B">
            <w:pPr>
              <w:pStyle w:val="ConsPlusNormal"/>
              <w:ind w:firstLine="283"/>
              <w:jc w:val="both"/>
            </w:pPr>
            <w:r>
              <w:t>Не менее 0,5 МОм, если организацией-изготовителем не оговорены более высокие требования.</w:t>
            </w:r>
          </w:p>
          <w:p w:rsidR="00BA279B" w:rsidRDefault="00BA279B">
            <w:pPr>
              <w:pStyle w:val="ConsPlusNormal"/>
              <w:ind w:firstLine="283"/>
              <w:jc w:val="both"/>
            </w:pPr>
            <w:r>
              <w:t>Измеряется в положении электродов при максимальной и минимальной мощности по отношению к корпусу мегаомметром на напряжение 2500 В.</w:t>
            </w:r>
          </w:p>
        </w:tc>
      </w:tr>
      <w:tr w:rsidR="00BA279B">
        <w:tc>
          <w:tcPr>
            <w:tcW w:w="2665" w:type="dxa"/>
          </w:tcPr>
          <w:p w:rsidR="00BA279B" w:rsidRDefault="00BA279B">
            <w:pPr>
              <w:pStyle w:val="ConsPlusNormal"/>
              <w:ind w:firstLine="283"/>
              <w:jc w:val="both"/>
            </w:pPr>
            <w:r>
              <w:lastRenderedPageBreak/>
              <w:t>5. Проверка действия защитной аппаратуры котла.</w:t>
            </w:r>
          </w:p>
        </w:tc>
        <w:tc>
          <w:tcPr>
            <w:tcW w:w="1361" w:type="dxa"/>
          </w:tcPr>
          <w:p w:rsidR="00BA279B" w:rsidRDefault="00BA279B">
            <w:pPr>
              <w:pStyle w:val="ConsPlusNormal"/>
            </w:pPr>
            <w:r>
              <w:t>КР, ТР, МИ</w:t>
            </w:r>
          </w:p>
        </w:tc>
        <w:tc>
          <w:tcPr>
            <w:tcW w:w="5046" w:type="dxa"/>
          </w:tcPr>
          <w:p w:rsidR="00BA279B" w:rsidRDefault="00BA279B">
            <w:pPr>
              <w:pStyle w:val="ConsPlusNormal"/>
              <w:ind w:firstLine="283"/>
              <w:jc w:val="both"/>
            </w:pPr>
            <w:r>
              <w:t>Проводится в соответствии с производственными инструкциями и инструкциями организаций-изготовителей.</w:t>
            </w:r>
          </w:p>
        </w:tc>
      </w:tr>
    </w:tbl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ind w:firstLine="540"/>
        <w:jc w:val="both"/>
      </w:pPr>
      <w:r>
        <w:t>Испытательные напряжения промышленной частоты в эксплуатации для электродных котлов классом напряжения до 35 кВ приведены в таблице 2.</w:t>
      </w: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jc w:val="right"/>
      </w:pPr>
      <w:bookmarkStart w:id="41" w:name="P526"/>
      <w:bookmarkEnd w:id="41"/>
      <w:r>
        <w:t>Таблица 2</w:t>
      </w:r>
    </w:p>
    <w:p w:rsidR="00BA279B" w:rsidRDefault="00BA27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572"/>
        <w:gridCol w:w="3912"/>
      </w:tblGrid>
      <w:tr w:rsidR="00BA279B">
        <w:tc>
          <w:tcPr>
            <w:tcW w:w="1587" w:type="dxa"/>
            <w:vMerge w:val="restart"/>
          </w:tcPr>
          <w:p w:rsidR="00BA279B" w:rsidRDefault="00BA279B">
            <w:pPr>
              <w:pStyle w:val="ConsPlusNormal"/>
              <w:jc w:val="center"/>
            </w:pPr>
            <w:r>
              <w:t>Класс напряжения, кВ</w:t>
            </w:r>
          </w:p>
        </w:tc>
        <w:tc>
          <w:tcPr>
            <w:tcW w:w="7484" w:type="dxa"/>
            <w:gridSpan w:val="2"/>
          </w:tcPr>
          <w:p w:rsidR="00BA279B" w:rsidRDefault="00BA279B">
            <w:pPr>
              <w:pStyle w:val="ConsPlusNormal"/>
              <w:jc w:val="center"/>
            </w:pPr>
            <w:r>
              <w:t>Испытательное напряжение, кВ</w:t>
            </w:r>
          </w:p>
          <w:p w:rsidR="00BA279B" w:rsidRDefault="00BA279B">
            <w:pPr>
              <w:pStyle w:val="ConsPlusNormal"/>
              <w:jc w:val="center"/>
            </w:pPr>
            <w:r>
              <w:t>(значения в скобках распространяются на промежуток между контактами коммутационных аппаратов)</w:t>
            </w:r>
          </w:p>
        </w:tc>
      </w:tr>
      <w:tr w:rsidR="00BA279B">
        <w:tc>
          <w:tcPr>
            <w:tcW w:w="1587" w:type="dxa"/>
            <w:vMerge/>
          </w:tcPr>
          <w:p w:rsidR="00BA279B" w:rsidRDefault="00BA279B">
            <w:pPr>
              <w:pStyle w:val="ConsPlusNormal"/>
            </w:pPr>
          </w:p>
        </w:tc>
        <w:tc>
          <w:tcPr>
            <w:tcW w:w="3572" w:type="dxa"/>
          </w:tcPr>
          <w:p w:rsidR="00BA279B" w:rsidRDefault="00BA279B">
            <w:pPr>
              <w:pStyle w:val="ConsPlusNormal"/>
              <w:jc w:val="center"/>
            </w:pPr>
            <w:r>
              <w:t>фарфоровая изоляция</w:t>
            </w:r>
          </w:p>
        </w:tc>
        <w:tc>
          <w:tcPr>
            <w:tcW w:w="3912" w:type="dxa"/>
          </w:tcPr>
          <w:p w:rsidR="00BA279B" w:rsidRDefault="00BA279B">
            <w:pPr>
              <w:pStyle w:val="ConsPlusNormal"/>
              <w:jc w:val="center"/>
            </w:pPr>
            <w:r>
              <w:t>другие виды изоляции</w:t>
            </w:r>
          </w:p>
        </w:tc>
      </w:tr>
      <w:tr w:rsidR="00BA279B">
        <w:tc>
          <w:tcPr>
            <w:tcW w:w="1587" w:type="dxa"/>
            <w:vAlign w:val="bottom"/>
          </w:tcPr>
          <w:p w:rsidR="00BA279B" w:rsidRDefault="00BA279B">
            <w:pPr>
              <w:pStyle w:val="ConsPlusNormal"/>
              <w:jc w:val="center"/>
            </w:pPr>
            <w:r>
              <w:t>до 0,69</w:t>
            </w:r>
          </w:p>
        </w:tc>
        <w:tc>
          <w:tcPr>
            <w:tcW w:w="3572" w:type="dxa"/>
            <w:vAlign w:val="bottom"/>
          </w:tcPr>
          <w:p w:rsidR="00BA279B" w:rsidRDefault="00BA279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912" w:type="dxa"/>
            <w:vAlign w:val="bottom"/>
          </w:tcPr>
          <w:p w:rsidR="00BA279B" w:rsidRDefault="00BA279B">
            <w:pPr>
              <w:pStyle w:val="ConsPlusNormal"/>
              <w:jc w:val="center"/>
            </w:pPr>
            <w:r>
              <w:t>1,0</w:t>
            </w:r>
          </w:p>
        </w:tc>
      </w:tr>
      <w:tr w:rsidR="00BA279B">
        <w:tc>
          <w:tcPr>
            <w:tcW w:w="1587" w:type="dxa"/>
            <w:vAlign w:val="center"/>
          </w:tcPr>
          <w:p w:rsidR="00BA279B" w:rsidRDefault="00BA27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  <w:vAlign w:val="center"/>
          </w:tcPr>
          <w:p w:rsidR="00BA279B" w:rsidRDefault="00BA279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3912" w:type="dxa"/>
            <w:vAlign w:val="center"/>
          </w:tcPr>
          <w:p w:rsidR="00BA279B" w:rsidRDefault="00BA279B">
            <w:pPr>
              <w:pStyle w:val="ConsPlusNormal"/>
              <w:jc w:val="center"/>
            </w:pPr>
            <w:r>
              <w:t>21,6</w:t>
            </w:r>
          </w:p>
        </w:tc>
      </w:tr>
      <w:tr w:rsidR="00BA279B">
        <w:tc>
          <w:tcPr>
            <w:tcW w:w="1587" w:type="dxa"/>
            <w:vAlign w:val="center"/>
          </w:tcPr>
          <w:p w:rsidR="00BA279B" w:rsidRDefault="00BA27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  <w:vAlign w:val="center"/>
          </w:tcPr>
          <w:p w:rsidR="00BA279B" w:rsidRDefault="00BA279B">
            <w:pPr>
              <w:pStyle w:val="ConsPlusNormal"/>
              <w:jc w:val="center"/>
            </w:pPr>
            <w:r>
              <w:t>32,0 (37,0)</w:t>
            </w:r>
          </w:p>
        </w:tc>
        <w:tc>
          <w:tcPr>
            <w:tcW w:w="3912" w:type="dxa"/>
            <w:vAlign w:val="center"/>
          </w:tcPr>
          <w:p w:rsidR="00BA279B" w:rsidRDefault="00BA279B">
            <w:pPr>
              <w:pStyle w:val="ConsPlusNormal"/>
              <w:jc w:val="center"/>
            </w:pPr>
            <w:r>
              <w:t>28,8 (33,3)</w:t>
            </w:r>
          </w:p>
        </w:tc>
      </w:tr>
      <w:tr w:rsidR="00BA279B">
        <w:tc>
          <w:tcPr>
            <w:tcW w:w="1587" w:type="dxa"/>
            <w:vAlign w:val="center"/>
          </w:tcPr>
          <w:p w:rsidR="00BA279B" w:rsidRDefault="00BA27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2" w:type="dxa"/>
            <w:vAlign w:val="center"/>
          </w:tcPr>
          <w:p w:rsidR="00BA279B" w:rsidRDefault="00BA279B">
            <w:pPr>
              <w:pStyle w:val="ConsPlusNormal"/>
              <w:jc w:val="center"/>
            </w:pPr>
            <w:r>
              <w:t>42,0 (48,0)</w:t>
            </w:r>
          </w:p>
        </w:tc>
        <w:tc>
          <w:tcPr>
            <w:tcW w:w="3912" w:type="dxa"/>
            <w:vAlign w:val="center"/>
          </w:tcPr>
          <w:p w:rsidR="00BA279B" w:rsidRDefault="00BA279B">
            <w:pPr>
              <w:pStyle w:val="ConsPlusNormal"/>
              <w:jc w:val="center"/>
            </w:pPr>
            <w:r>
              <w:t>37,8 (43,2)</w:t>
            </w:r>
          </w:p>
        </w:tc>
      </w:tr>
      <w:tr w:rsidR="00BA279B">
        <w:tc>
          <w:tcPr>
            <w:tcW w:w="1587" w:type="dxa"/>
            <w:vAlign w:val="center"/>
          </w:tcPr>
          <w:p w:rsidR="00BA279B" w:rsidRDefault="00BA27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2" w:type="dxa"/>
            <w:vAlign w:val="center"/>
          </w:tcPr>
          <w:p w:rsidR="00BA279B" w:rsidRDefault="00BA279B">
            <w:pPr>
              <w:pStyle w:val="ConsPlusNormal"/>
              <w:jc w:val="center"/>
            </w:pPr>
            <w:r>
              <w:t>55,0 (63,0)</w:t>
            </w:r>
          </w:p>
        </w:tc>
        <w:tc>
          <w:tcPr>
            <w:tcW w:w="3912" w:type="dxa"/>
            <w:vAlign w:val="center"/>
          </w:tcPr>
          <w:p w:rsidR="00BA279B" w:rsidRDefault="00BA279B">
            <w:pPr>
              <w:pStyle w:val="ConsPlusNormal"/>
              <w:jc w:val="center"/>
            </w:pPr>
            <w:r>
              <w:t>49,5 (56,7)</w:t>
            </w:r>
          </w:p>
        </w:tc>
      </w:tr>
      <w:tr w:rsidR="00BA279B">
        <w:tc>
          <w:tcPr>
            <w:tcW w:w="1587" w:type="dxa"/>
            <w:vAlign w:val="center"/>
          </w:tcPr>
          <w:p w:rsidR="00BA279B" w:rsidRDefault="00BA279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72" w:type="dxa"/>
            <w:vAlign w:val="center"/>
          </w:tcPr>
          <w:p w:rsidR="00BA279B" w:rsidRDefault="00BA279B">
            <w:pPr>
              <w:pStyle w:val="ConsPlusNormal"/>
              <w:jc w:val="center"/>
            </w:pPr>
            <w:r>
              <w:t>65,0 (75,0)</w:t>
            </w:r>
          </w:p>
        </w:tc>
        <w:tc>
          <w:tcPr>
            <w:tcW w:w="3912" w:type="dxa"/>
            <w:vAlign w:val="center"/>
          </w:tcPr>
          <w:p w:rsidR="00BA279B" w:rsidRDefault="00BA279B">
            <w:pPr>
              <w:pStyle w:val="ConsPlusNormal"/>
              <w:jc w:val="center"/>
            </w:pPr>
            <w:r>
              <w:t>58,5 (67,5)</w:t>
            </w:r>
          </w:p>
        </w:tc>
      </w:tr>
      <w:tr w:rsidR="00BA279B">
        <w:tc>
          <w:tcPr>
            <w:tcW w:w="1587" w:type="dxa"/>
            <w:vAlign w:val="center"/>
          </w:tcPr>
          <w:p w:rsidR="00BA279B" w:rsidRDefault="00BA279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72" w:type="dxa"/>
            <w:vAlign w:val="center"/>
          </w:tcPr>
          <w:p w:rsidR="00BA279B" w:rsidRDefault="00BA279B">
            <w:pPr>
              <w:pStyle w:val="ConsPlusNormal"/>
              <w:jc w:val="center"/>
            </w:pPr>
            <w:r>
              <w:t>95,0 (120,0)</w:t>
            </w:r>
          </w:p>
        </w:tc>
        <w:tc>
          <w:tcPr>
            <w:tcW w:w="3912" w:type="dxa"/>
            <w:vAlign w:val="center"/>
          </w:tcPr>
          <w:p w:rsidR="00BA279B" w:rsidRDefault="00BA279B">
            <w:pPr>
              <w:pStyle w:val="ConsPlusNormal"/>
              <w:jc w:val="center"/>
            </w:pPr>
            <w:r>
              <w:t>85,5 (108,0)</w:t>
            </w:r>
          </w:p>
        </w:tc>
      </w:tr>
    </w:tbl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jc w:val="both"/>
      </w:pPr>
    </w:p>
    <w:p w:rsidR="00BA279B" w:rsidRDefault="00BA27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E76B3" w:rsidRDefault="00BA279B"/>
    <w:sectPr w:rsidR="008E76B3" w:rsidSect="001C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9B"/>
    <w:rsid w:val="00954734"/>
    <w:rsid w:val="00BA279B"/>
    <w:rsid w:val="00F1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A41E1-B6C7-4F64-B367-68BC745B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27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27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27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27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27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27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27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3519&amp;dst=100010" TargetMode="External"/><Relationship Id="rId18" Type="http://schemas.openxmlformats.org/officeDocument/2006/relationships/hyperlink" Target="https://login.consultant.ru/link/?req=doc&amp;base=LAW&amp;n=450851&amp;dst=1149" TargetMode="External"/><Relationship Id="rId26" Type="http://schemas.openxmlformats.org/officeDocument/2006/relationships/hyperlink" Target="https://login.consultant.ru/link/?req=doc&amp;base=LAW&amp;n=450850&amp;dst=100241" TargetMode="External"/><Relationship Id="rId39" Type="http://schemas.openxmlformats.org/officeDocument/2006/relationships/hyperlink" Target="https://login.consultant.ru/link/?req=doc&amp;base=LAW&amp;n=366205&amp;dst=100010" TargetMode="External"/><Relationship Id="rId21" Type="http://schemas.openxmlformats.org/officeDocument/2006/relationships/hyperlink" Target="https://login.consultant.ru/link/?req=doc&amp;base=LAW&amp;n=450851&amp;dst=101498" TargetMode="External"/><Relationship Id="rId34" Type="http://schemas.openxmlformats.org/officeDocument/2006/relationships/hyperlink" Target="https://login.consultant.ru/link/?req=doc&amp;base=LAW&amp;n=380426&amp;dst=100007" TargetMode="External"/><Relationship Id="rId42" Type="http://schemas.openxmlformats.org/officeDocument/2006/relationships/hyperlink" Target="https://login.consultant.ru/link/?req=doc&amp;base=LAW&amp;n=450850&amp;dst=100696" TargetMode="External"/><Relationship Id="rId47" Type="http://schemas.openxmlformats.org/officeDocument/2006/relationships/hyperlink" Target="https://login.consultant.ru/link/?req=doc&amp;base=LAW&amp;n=433930&amp;dst=100013" TargetMode="External"/><Relationship Id="rId50" Type="http://schemas.openxmlformats.org/officeDocument/2006/relationships/hyperlink" Target="https://login.consultant.ru/link/?req=doc&amp;base=LAW&amp;n=433930&amp;dst=100013" TargetMode="External"/><Relationship Id="rId55" Type="http://schemas.openxmlformats.org/officeDocument/2006/relationships/hyperlink" Target="https://login.consultant.ru/link/?req=doc&amp;base=LAW&amp;n=418278&amp;dst=100015" TargetMode="External"/><Relationship Id="rId63" Type="http://schemas.openxmlformats.org/officeDocument/2006/relationships/hyperlink" Target="https://login.consultant.ru/link/?req=doc&amp;base=LAW&amp;n=373028&amp;dst=100007" TargetMode="External"/><Relationship Id="rId68" Type="http://schemas.openxmlformats.org/officeDocument/2006/relationships/hyperlink" Target="https://login.consultant.ru/link/?req=doc&amp;base=LAW&amp;n=450850&amp;dst=100241" TargetMode="External"/><Relationship Id="rId7" Type="http://schemas.openxmlformats.org/officeDocument/2006/relationships/hyperlink" Target="https://login.consultant.ru/link/?req=doc&amp;base=LAW&amp;n=429993&amp;dst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0851&amp;dst=100061" TargetMode="External"/><Relationship Id="rId29" Type="http://schemas.openxmlformats.org/officeDocument/2006/relationships/hyperlink" Target="https://login.consultant.ru/link/?req=doc&amp;base=LAW&amp;n=311353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9993&amp;dst=100006" TargetMode="External"/><Relationship Id="rId11" Type="http://schemas.openxmlformats.org/officeDocument/2006/relationships/hyperlink" Target="https://login.consultant.ru/link/?req=doc&amp;base=LAW&amp;n=450850" TargetMode="External"/><Relationship Id="rId24" Type="http://schemas.openxmlformats.org/officeDocument/2006/relationships/hyperlink" Target="https://login.consultant.ru/link/?req=doc&amp;base=LAW&amp;n=418278&amp;dst=100011" TargetMode="External"/><Relationship Id="rId32" Type="http://schemas.openxmlformats.org/officeDocument/2006/relationships/hyperlink" Target="https://login.consultant.ru/link/?req=doc&amp;base=LAW&amp;n=380426&amp;dst=100134" TargetMode="External"/><Relationship Id="rId37" Type="http://schemas.openxmlformats.org/officeDocument/2006/relationships/hyperlink" Target="https://login.consultant.ru/link/?req=doc&amp;base=LAW&amp;n=366205&amp;dst=100010" TargetMode="External"/><Relationship Id="rId40" Type="http://schemas.openxmlformats.org/officeDocument/2006/relationships/hyperlink" Target="https://login.consultant.ru/link/?req=doc&amp;base=LAW&amp;n=433519&amp;dst=100010" TargetMode="External"/><Relationship Id="rId45" Type="http://schemas.openxmlformats.org/officeDocument/2006/relationships/hyperlink" Target="https://login.consultant.ru/link/?req=doc&amp;base=LAW&amp;n=450826&amp;dst=100776" TargetMode="External"/><Relationship Id="rId53" Type="http://schemas.openxmlformats.org/officeDocument/2006/relationships/hyperlink" Target="https://login.consultant.ru/link/?req=doc&amp;base=LAW&amp;n=433676&amp;dst=100010" TargetMode="External"/><Relationship Id="rId58" Type="http://schemas.openxmlformats.org/officeDocument/2006/relationships/hyperlink" Target="https://login.consultant.ru/link/?req=doc&amp;base=LAW&amp;n=433676&amp;dst=100161" TargetMode="External"/><Relationship Id="rId66" Type="http://schemas.openxmlformats.org/officeDocument/2006/relationships/hyperlink" Target="https://login.consultant.ru/link/?req=doc&amp;base=LAW&amp;n=373204&amp;dst=100011" TargetMode="External"/><Relationship Id="rId5" Type="http://schemas.openxmlformats.org/officeDocument/2006/relationships/hyperlink" Target="https://login.consultant.ru/link/?req=doc&amp;base=LAW&amp;n=450850&amp;dst=100047" TargetMode="External"/><Relationship Id="rId15" Type="http://schemas.openxmlformats.org/officeDocument/2006/relationships/hyperlink" Target="https://login.consultant.ru/link/?req=doc&amp;base=LAW&amp;n=466343&amp;dst=100027" TargetMode="External"/><Relationship Id="rId23" Type="http://schemas.openxmlformats.org/officeDocument/2006/relationships/hyperlink" Target="https://login.consultant.ru/link/?req=doc&amp;base=LAW&amp;n=418278&amp;dst=100015" TargetMode="External"/><Relationship Id="rId28" Type="http://schemas.openxmlformats.org/officeDocument/2006/relationships/hyperlink" Target="https://login.consultant.ru/link/?req=doc&amp;base=LAW&amp;n=433929&amp;dst=100010" TargetMode="External"/><Relationship Id="rId36" Type="http://schemas.openxmlformats.org/officeDocument/2006/relationships/hyperlink" Target="https://login.consultant.ru/link/?req=doc&amp;base=LAW&amp;n=450850&amp;dst=100052" TargetMode="External"/><Relationship Id="rId49" Type="http://schemas.openxmlformats.org/officeDocument/2006/relationships/hyperlink" Target="https://login.consultant.ru/link/?req=doc&amp;base=LAW&amp;n=450850&amp;dst=100052" TargetMode="External"/><Relationship Id="rId57" Type="http://schemas.openxmlformats.org/officeDocument/2006/relationships/hyperlink" Target="https://login.consultant.ru/link/?req=doc&amp;base=LAW&amp;n=433676&amp;dst=100013" TargetMode="External"/><Relationship Id="rId61" Type="http://schemas.openxmlformats.org/officeDocument/2006/relationships/hyperlink" Target="https://login.consultant.ru/link/?req=doc&amp;base=LAW&amp;n=373153&amp;dst=100008" TargetMode="External"/><Relationship Id="rId10" Type="http://schemas.openxmlformats.org/officeDocument/2006/relationships/hyperlink" Target="https://login.consultant.ru/link/?req=doc&amp;base=LAW&amp;n=451216&amp;dst=715" TargetMode="External"/><Relationship Id="rId19" Type="http://schemas.openxmlformats.org/officeDocument/2006/relationships/hyperlink" Target="https://login.consultant.ru/link/?req=doc&amp;base=LAW&amp;n=450851&amp;dst=1151" TargetMode="External"/><Relationship Id="rId31" Type="http://schemas.openxmlformats.org/officeDocument/2006/relationships/hyperlink" Target="https://login.consultant.ru/link/?req=doc&amp;base=LAW&amp;n=380426&amp;dst=100074" TargetMode="External"/><Relationship Id="rId44" Type="http://schemas.openxmlformats.org/officeDocument/2006/relationships/hyperlink" Target="https://login.consultant.ru/link/?req=doc&amp;base=LAW&amp;n=450850&amp;dst=100039" TargetMode="External"/><Relationship Id="rId52" Type="http://schemas.openxmlformats.org/officeDocument/2006/relationships/hyperlink" Target="https://login.consultant.ru/link/?req=doc&amp;base=LAW&amp;n=433607&amp;dst=100019" TargetMode="External"/><Relationship Id="rId60" Type="http://schemas.openxmlformats.org/officeDocument/2006/relationships/hyperlink" Target="https://login.consultant.ru/link/?req=doc&amp;base=LAW&amp;n=373153&amp;dst=100133" TargetMode="External"/><Relationship Id="rId65" Type="http://schemas.openxmlformats.org/officeDocument/2006/relationships/hyperlink" Target="https://login.consultant.ru/link/?req=doc&amp;base=LAW&amp;n=418278&amp;dst=10001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3270&amp;dst=100008" TargetMode="External"/><Relationship Id="rId14" Type="http://schemas.openxmlformats.org/officeDocument/2006/relationships/hyperlink" Target="https://login.consultant.ru/link/?req=doc&amp;base=LAW&amp;n=450850&amp;dst=100045" TargetMode="External"/><Relationship Id="rId22" Type="http://schemas.openxmlformats.org/officeDocument/2006/relationships/hyperlink" Target="https://login.consultant.ru/link/?req=doc&amp;base=LAW&amp;n=450826&amp;dst=101049" TargetMode="External"/><Relationship Id="rId27" Type="http://schemas.openxmlformats.org/officeDocument/2006/relationships/hyperlink" Target="https://login.consultant.ru/link/?req=doc&amp;base=LAW&amp;n=433930&amp;dst=100013" TargetMode="External"/><Relationship Id="rId30" Type="http://schemas.openxmlformats.org/officeDocument/2006/relationships/hyperlink" Target="https://login.consultant.ru/link/?req=doc&amp;base=LAW&amp;n=380426&amp;dst=100056" TargetMode="External"/><Relationship Id="rId35" Type="http://schemas.openxmlformats.org/officeDocument/2006/relationships/hyperlink" Target="https://login.consultant.ru/link/?req=doc&amp;base=LAW&amp;n=450851&amp;dst=100743" TargetMode="External"/><Relationship Id="rId43" Type="http://schemas.openxmlformats.org/officeDocument/2006/relationships/hyperlink" Target="https://login.consultant.ru/link/?req=doc&amp;base=LAW&amp;n=450850&amp;dst=100708" TargetMode="External"/><Relationship Id="rId48" Type="http://schemas.openxmlformats.org/officeDocument/2006/relationships/hyperlink" Target="https://login.consultant.ru/link/?req=doc&amp;base=LAW&amp;n=433929&amp;dst=100010" TargetMode="External"/><Relationship Id="rId56" Type="http://schemas.openxmlformats.org/officeDocument/2006/relationships/hyperlink" Target="https://login.consultant.ru/link/?req=doc&amp;base=LAW&amp;n=418278&amp;dst=100015" TargetMode="External"/><Relationship Id="rId64" Type="http://schemas.openxmlformats.org/officeDocument/2006/relationships/hyperlink" Target="https://login.consultant.ru/link/?req=doc&amp;base=LAW&amp;n=433519&amp;dst=10001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12161" TargetMode="External"/><Relationship Id="rId51" Type="http://schemas.openxmlformats.org/officeDocument/2006/relationships/hyperlink" Target="https://login.consultant.ru/link/?req=doc&amp;base=LAW&amp;n=433676&amp;dst=10001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29993" TargetMode="External"/><Relationship Id="rId17" Type="http://schemas.openxmlformats.org/officeDocument/2006/relationships/hyperlink" Target="https://login.consultant.ru/link/?req=doc&amp;base=LAW&amp;n=450826&amp;dst=100379" TargetMode="External"/><Relationship Id="rId25" Type="http://schemas.openxmlformats.org/officeDocument/2006/relationships/hyperlink" Target="https://login.consultant.ru/link/?req=doc&amp;base=LAW&amp;n=450850&amp;dst=100052" TargetMode="External"/><Relationship Id="rId33" Type="http://schemas.openxmlformats.org/officeDocument/2006/relationships/hyperlink" Target="https://login.consultant.ru/link/?req=doc&amp;base=LAW&amp;n=380426&amp;dst=100217" TargetMode="External"/><Relationship Id="rId38" Type="http://schemas.openxmlformats.org/officeDocument/2006/relationships/hyperlink" Target="https://login.consultant.ru/link/?req=doc&amp;base=LAW&amp;n=366110&amp;dst=100012" TargetMode="External"/><Relationship Id="rId46" Type="http://schemas.openxmlformats.org/officeDocument/2006/relationships/hyperlink" Target="https://login.consultant.ru/link/?req=doc&amp;base=LAW&amp;n=433519&amp;dst=100010" TargetMode="External"/><Relationship Id="rId59" Type="http://schemas.openxmlformats.org/officeDocument/2006/relationships/hyperlink" Target="https://login.consultant.ru/link/?req=doc&amp;base=LAW&amp;n=433676&amp;dst=100013" TargetMode="External"/><Relationship Id="rId67" Type="http://schemas.openxmlformats.org/officeDocument/2006/relationships/hyperlink" Target="https://login.consultant.ru/link/?req=doc&amp;base=LAW&amp;n=373204&amp;dst=100007" TargetMode="External"/><Relationship Id="rId20" Type="http://schemas.openxmlformats.org/officeDocument/2006/relationships/hyperlink" Target="https://login.consultant.ru/link/?req=doc&amp;base=LAW&amp;n=450851&amp;dst=1245" TargetMode="External"/><Relationship Id="rId41" Type="http://schemas.openxmlformats.org/officeDocument/2006/relationships/hyperlink" Target="https://login.consultant.ru/link/?req=doc&amp;base=LAW&amp;n=329233&amp;dst=100010" TargetMode="External"/><Relationship Id="rId54" Type="http://schemas.openxmlformats.org/officeDocument/2006/relationships/hyperlink" Target="https://login.consultant.ru/link/?req=doc&amp;base=LAW&amp;n=433676&amp;dst=100013" TargetMode="External"/><Relationship Id="rId62" Type="http://schemas.openxmlformats.org/officeDocument/2006/relationships/hyperlink" Target="https://login.consultant.ru/link/?req=doc&amp;base=LAW&amp;n=373028&amp;dst=10001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13906</Words>
  <Characters>79267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 Вячеслав Александрович</dc:creator>
  <cp:keywords/>
  <dc:description/>
  <cp:lastModifiedBy>Ведерников Вячеслав Александрович</cp:lastModifiedBy>
  <cp:revision>1</cp:revision>
  <dcterms:created xsi:type="dcterms:W3CDTF">2024-01-24T07:08:00Z</dcterms:created>
  <dcterms:modified xsi:type="dcterms:W3CDTF">2024-01-24T07:08:00Z</dcterms:modified>
</cp:coreProperties>
</file>